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BA7E" w14:textId="77777777" w:rsidR="00B41EBF" w:rsidRPr="00D60A6A" w:rsidRDefault="006D25F5" w:rsidP="00B41EBF">
      <w:pPr>
        <w:spacing w:after="0" w:line="240" w:lineRule="auto"/>
        <w:jc w:val="center"/>
        <w:rPr>
          <w:rFonts w:ascii="Times New Roman" w:eastAsia="Times New Roman" w:hAnsi="Times New Roman" w:cs="Times New Roman"/>
          <w:b/>
        </w:rPr>
      </w:pPr>
      <w:r w:rsidRPr="00D60A6A">
        <w:rPr>
          <w:rFonts w:ascii="Times New Roman" w:eastAsia="Times New Roman" w:hAnsi="Times New Roman" w:cs="Times New Roman"/>
          <w:b/>
        </w:rPr>
        <w:t xml:space="preserve">A TRUNCATED </w:t>
      </w:r>
      <w:r w:rsidR="00B41EBF" w:rsidRPr="00D60A6A">
        <w:rPr>
          <w:rFonts w:ascii="Times New Roman" w:eastAsia="Times New Roman" w:hAnsi="Times New Roman" w:cs="Times New Roman"/>
          <w:b/>
        </w:rPr>
        <w:t>ANNUAL PROGRAM REPORT</w:t>
      </w:r>
    </w:p>
    <w:p w14:paraId="088F5D80" w14:textId="77777777" w:rsidR="006D25F5" w:rsidRPr="00D60A6A" w:rsidRDefault="006D25F5" w:rsidP="00B41EBF">
      <w:pPr>
        <w:spacing w:after="0" w:line="240" w:lineRule="auto"/>
        <w:jc w:val="center"/>
        <w:rPr>
          <w:rFonts w:ascii="Times New Roman" w:eastAsia="Times New Roman" w:hAnsi="Times New Roman" w:cs="Times New Roman"/>
          <w:b/>
        </w:rPr>
      </w:pPr>
      <w:r w:rsidRPr="00D60A6A">
        <w:rPr>
          <w:rFonts w:ascii="Times New Roman" w:eastAsia="Times New Roman" w:hAnsi="Times New Roman" w:cs="Times New Roman"/>
          <w:b/>
        </w:rPr>
        <w:t>(A part of 5 Year Review Submission)</w:t>
      </w:r>
    </w:p>
    <w:p w14:paraId="7F02B649" w14:textId="77777777" w:rsidR="00B41EBF" w:rsidRPr="00D60A6A" w:rsidRDefault="00B41EBF" w:rsidP="00734525">
      <w:pPr>
        <w:spacing w:after="0" w:line="240" w:lineRule="auto"/>
        <w:rPr>
          <w:rFonts w:ascii="Times New Roman" w:eastAsia="Times New Roman" w:hAnsi="Times New Roman" w:cs="Times New Roman"/>
        </w:rPr>
      </w:pPr>
    </w:p>
    <w:tbl>
      <w:tblPr>
        <w:tblStyle w:val="TableGrid1"/>
        <w:tblW w:w="0" w:type="auto"/>
        <w:tblLook w:val="04A0" w:firstRow="1" w:lastRow="0" w:firstColumn="1" w:lastColumn="0" w:noHBand="0" w:noVBand="1"/>
      </w:tblPr>
      <w:tblGrid>
        <w:gridCol w:w="3325"/>
        <w:gridCol w:w="6025"/>
      </w:tblGrid>
      <w:tr w:rsidR="00734525" w:rsidRPr="004D735A" w14:paraId="7CE210F8" w14:textId="77777777" w:rsidTr="00063386">
        <w:tc>
          <w:tcPr>
            <w:tcW w:w="3325" w:type="dxa"/>
          </w:tcPr>
          <w:p w14:paraId="261816F7" w14:textId="77777777" w:rsidR="00734525" w:rsidRPr="004D735A" w:rsidRDefault="00734525" w:rsidP="00734525">
            <w:pPr>
              <w:rPr>
                <w:rFonts w:ascii="Times New Roman" w:eastAsia="Times New Roman" w:hAnsi="Times New Roman" w:cs="Times New Roman"/>
              </w:rPr>
            </w:pPr>
            <w:r w:rsidRPr="004D735A">
              <w:rPr>
                <w:rFonts w:ascii="Times New Roman" w:eastAsia="Times New Roman" w:hAnsi="Times New Roman" w:cs="Times New Roman"/>
              </w:rPr>
              <w:t>College</w:t>
            </w:r>
          </w:p>
        </w:tc>
        <w:tc>
          <w:tcPr>
            <w:tcW w:w="6025" w:type="dxa"/>
          </w:tcPr>
          <w:p w14:paraId="0535D2BB" w14:textId="6F862173" w:rsidR="00734525" w:rsidRPr="004D735A" w:rsidRDefault="00A429C7" w:rsidP="00734525">
            <w:pPr>
              <w:rPr>
                <w:rFonts w:ascii="Times New Roman" w:eastAsia="Times New Roman" w:hAnsi="Times New Roman" w:cs="Times New Roman"/>
              </w:rPr>
            </w:pPr>
            <w:r w:rsidRPr="004D735A">
              <w:rPr>
                <w:rFonts w:ascii="Times New Roman" w:hAnsi="Times New Roman" w:cs="Times New Roman"/>
              </w:rPr>
              <w:t xml:space="preserve">College of </w:t>
            </w:r>
            <w:r w:rsidR="00DC386E">
              <w:rPr>
                <w:rFonts w:ascii="Times New Roman" w:hAnsi="Times New Roman" w:cs="Times New Roman"/>
              </w:rPr>
              <w:t>Liberal Arts and Social Studies</w:t>
            </w:r>
          </w:p>
        </w:tc>
      </w:tr>
      <w:tr w:rsidR="00734525" w:rsidRPr="004D735A" w14:paraId="69C3E938" w14:textId="77777777" w:rsidTr="00063386">
        <w:tc>
          <w:tcPr>
            <w:tcW w:w="3325" w:type="dxa"/>
          </w:tcPr>
          <w:p w14:paraId="07B1ED6A" w14:textId="77777777" w:rsidR="00734525" w:rsidRPr="004D735A" w:rsidRDefault="00734525" w:rsidP="00734525">
            <w:pPr>
              <w:rPr>
                <w:rFonts w:ascii="Times New Roman" w:eastAsia="Times New Roman" w:hAnsi="Times New Roman" w:cs="Times New Roman"/>
              </w:rPr>
            </w:pPr>
            <w:r w:rsidRPr="004D735A">
              <w:rPr>
                <w:rFonts w:ascii="Times New Roman" w:eastAsia="Times New Roman" w:hAnsi="Times New Roman" w:cs="Times New Roman"/>
              </w:rPr>
              <w:t>Department</w:t>
            </w:r>
          </w:p>
        </w:tc>
        <w:tc>
          <w:tcPr>
            <w:tcW w:w="6025" w:type="dxa"/>
          </w:tcPr>
          <w:p w14:paraId="4FED9D99" w14:textId="3D6293DD" w:rsidR="00734525" w:rsidRPr="004D735A" w:rsidRDefault="00DC386E" w:rsidP="00734525">
            <w:pPr>
              <w:rPr>
                <w:rFonts w:ascii="Times New Roman" w:eastAsia="Times New Roman" w:hAnsi="Times New Roman" w:cs="Times New Roman"/>
              </w:rPr>
            </w:pPr>
            <w:r>
              <w:rPr>
                <w:rFonts w:ascii="Times New Roman" w:hAnsi="Times New Roman" w:cs="Times New Roman"/>
              </w:rPr>
              <w:t>Criminal Justice</w:t>
            </w:r>
          </w:p>
        </w:tc>
      </w:tr>
      <w:tr w:rsidR="00734525" w:rsidRPr="004D735A" w14:paraId="4653BB2C" w14:textId="77777777" w:rsidTr="00063386">
        <w:tc>
          <w:tcPr>
            <w:tcW w:w="3325" w:type="dxa"/>
          </w:tcPr>
          <w:p w14:paraId="1BD7061A" w14:textId="77777777" w:rsidR="00734525" w:rsidRPr="004D735A" w:rsidRDefault="00734525" w:rsidP="00734525">
            <w:pPr>
              <w:rPr>
                <w:rFonts w:ascii="Times New Roman" w:eastAsia="Times New Roman" w:hAnsi="Times New Roman" w:cs="Times New Roman"/>
              </w:rPr>
            </w:pPr>
            <w:r w:rsidRPr="004D735A">
              <w:rPr>
                <w:rFonts w:ascii="Times New Roman" w:eastAsia="Times New Roman" w:hAnsi="Times New Roman" w:cs="Times New Roman"/>
              </w:rPr>
              <w:t>Program</w:t>
            </w:r>
          </w:p>
        </w:tc>
        <w:tc>
          <w:tcPr>
            <w:tcW w:w="6025" w:type="dxa"/>
          </w:tcPr>
          <w:p w14:paraId="2311D77B" w14:textId="0EA52270" w:rsidR="004D735A" w:rsidRPr="004D735A" w:rsidRDefault="004D735A" w:rsidP="00734525">
            <w:pPr>
              <w:rPr>
                <w:rFonts w:ascii="Times New Roman" w:hAnsi="Times New Roman" w:cs="Times New Roman"/>
              </w:rPr>
            </w:pPr>
            <w:r w:rsidRPr="004D735A">
              <w:rPr>
                <w:rFonts w:ascii="Times New Roman" w:hAnsi="Times New Roman" w:cs="Times New Roman"/>
              </w:rPr>
              <w:t xml:space="preserve">B.S. in </w:t>
            </w:r>
            <w:r w:rsidR="00DC386E">
              <w:rPr>
                <w:rFonts w:ascii="Times New Roman" w:hAnsi="Times New Roman" w:cs="Times New Roman"/>
              </w:rPr>
              <w:t>Criminal Justice</w:t>
            </w:r>
          </w:p>
          <w:p w14:paraId="37836202" w14:textId="00DEC634" w:rsidR="004D735A" w:rsidRPr="00DC386E" w:rsidRDefault="00DC386E" w:rsidP="00734525">
            <w:pPr>
              <w:rPr>
                <w:rFonts w:ascii="Times New Roman" w:hAnsi="Times New Roman" w:cs="Times New Roman"/>
              </w:rPr>
            </w:pPr>
            <w:r>
              <w:rPr>
                <w:rFonts w:ascii="Times New Roman" w:hAnsi="Times New Roman" w:cs="Times New Roman"/>
              </w:rPr>
              <w:t>Minor in Criminal Justice</w:t>
            </w:r>
          </w:p>
        </w:tc>
      </w:tr>
      <w:tr w:rsidR="00734525" w:rsidRPr="004D735A" w14:paraId="3A4DB7D5" w14:textId="77777777" w:rsidTr="00063386">
        <w:tc>
          <w:tcPr>
            <w:tcW w:w="3325" w:type="dxa"/>
          </w:tcPr>
          <w:p w14:paraId="154055A9" w14:textId="77777777" w:rsidR="00734525" w:rsidRPr="004D735A" w:rsidRDefault="00734525" w:rsidP="00734525">
            <w:pPr>
              <w:rPr>
                <w:rFonts w:ascii="Times New Roman" w:eastAsia="Times New Roman" w:hAnsi="Times New Roman" w:cs="Times New Roman"/>
              </w:rPr>
            </w:pPr>
            <w:r w:rsidRPr="004D735A">
              <w:rPr>
                <w:rFonts w:ascii="Times New Roman" w:eastAsia="Calibri" w:hAnsi="Times New Roman" w:cs="Times New Roman"/>
              </w:rPr>
              <w:t>Reporting for Academic Year</w:t>
            </w:r>
          </w:p>
        </w:tc>
        <w:tc>
          <w:tcPr>
            <w:tcW w:w="6025" w:type="dxa"/>
          </w:tcPr>
          <w:p w14:paraId="60230398" w14:textId="2CDDE882" w:rsidR="00734525" w:rsidRPr="004D735A" w:rsidRDefault="00A429C7" w:rsidP="00734525">
            <w:pPr>
              <w:rPr>
                <w:rFonts w:ascii="Times New Roman" w:eastAsia="Times New Roman" w:hAnsi="Times New Roman" w:cs="Times New Roman"/>
              </w:rPr>
            </w:pPr>
            <w:r w:rsidRPr="004D735A">
              <w:rPr>
                <w:rFonts w:ascii="Times New Roman" w:eastAsia="Times New Roman" w:hAnsi="Times New Roman" w:cs="Times New Roman"/>
              </w:rPr>
              <w:t>202</w:t>
            </w:r>
            <w:r w:rsidR="00DC386E">
              <w:rPr>
                <w:rFonts w:ascii="Times New Roman" w:eastAsia="Times New Roman" w:hAnsi="Times New Roman" w:cs="Times New Roman"/>
              </w:rPr>
              <w:t>2</w:t>
            </w:r>
            <w:r w:rsidRPr="004D735A">
              <w:rPr>
                <w:rFonts w:ascii="Times New Roman" w:eastAsia="Times New Roman" w:hAnsi="Times New Roman" w:cs="Times New Roman"/>
              </w:rPr>
              <w:t>-202</w:t>
            </w:r>
            <w:r w:rsidR="00DC386E">
              <w:rPr>
                <w:rFonts w:ascii="Times New Roman" w:eastAsia="Times New Roman" w:hAnsi="Times New Roman" w:cs="Times New Roman"/>
              </w:rPr>
              <w:t>3</w:t>
            </w:r>
          </w:p>
        </w:tc>
      </w:tr>
      <w:tr w:rsidR="00734525" w:rsidRPr="004D735A" w14:paraId="0FF59B4A" w14:textId="77777777" w:rsidTr="00063386">
        <w:tc>
          <w:tcPr>
            <w:tcW w:w="3325" w:type="dxa"/>
          </w:tcPr>
          <w:p w14:paraId="52924982" w14:textId="77777777" w:rsidR="00734525" w:rsidRPr="004D735A" w:rsidRDefault="00734525" w:rsidP="00734525">
            <w:pPr>
              <w:rPr>
                <w:rFonts w:ascii="Times New Roman" w:eastAsia="Times New Roman" w:hAnsi="Times New Roman" w:cs="Times New Roman"/>
              </w:rPr>
            </w:pPr>
            <w:r w:rsidRPr="004D735A">
              <w:rPr>
                <w:rFonts w:ascii="Times New Roman" w:eastAsia="Calibri" w:hAnsi="Times New Roman" w:cs="Times New Roman"/>
              </w:rPr>
              <w:t>Last 5-Year Review</w:t>
            </w:r>
          </w:p>
        </w:tc>
        <w:tc>
          <w:tcPr>
            <w:tcW w:w="6025" w:type="dxa"/>
          </w:tcPr>
          <w:p w14:paraId="511AE5FA" w14:textId="6AB7E8C2" w:rsidR="00734525" w:rsidRPr="004D735A" w:rsidRDefault="007E7A51" w:rsidP="00734525">
            <w:pPr>
              <w:rPr>
                <w:rFonts w:ascii="Times New Roman" w:eastAsia="Times New Roman" w:hAnsi="Times New Roman" w:cs="Times New Roman"/>
              </w:rPr>
            </w:pPr>
            <w:r w:rsidRPr="004D735A">
              <w:rPr>
                <w:rFonts w:ascii="Times New Roman" w:hAnsi="Times New Roman" w:cs="Times New Roman"/>
              </w:rPr>
              <w:t>201</w:t>
            </w:r>
            <w:r w:rsidR="006F5470">
              <w:rPr>
                <w:rFonts w:ascii="Times New Roman" w:hAnsi="Times New Roman" w:cs="Times New Roman"/>
              </w:rPr>
              <w:t>0</w:t>
            </w:r>
            <w:r w:rsidRPr="004D735A">
              <w:rPr>
                <w:rFonts w:ascii="Times New Roman" w:hAnsi="Times New Roman" w:cs="Times New Roman"/>
              </w:rPr>
              <w:t>-1</w:t>
            </w:r>
            <w:r w:rsidR="006F5470">
              <w:rPr>
                <w:rFonts w:ascii="Times New Roman" w:hAnsi="Times New Roman" w:cs="Times New Roman"/>
              </w:rPr>
              <w:t>5</w:t>
            </w:r>
            <w:r w:rsidRPr="004D735A">
              <w:rPr>
                <w:rFonts w:ascii="Times New Roman" w:hAnsi="Times New Roman" w:cs="Times New Roman"/>
              </w:rPr>
              <w:t xml:space="preserve"> (for AY 2009-2014)</w:t>
            </w:r>
          </w:p>
        </w:tc>
      </w:tr>
      <w:tr w:rsidR="00734525" w:rsidRPr="004D735A" w14:paraId="2582F140" w14:textId="77777777" w:rsidTr="00063386">
        <w:tc>
          <w:tcPr>
            <w:tcW w:w="3325" w:type="dxa"/>
          </w:tcPr>
          <w:p w14:paraId="5C5315D6" w14:textId="77777777" w:rsidR="00734525" w:rsidRPr="004D735A" w:rsidRDefault="00734525" w:rsidP="00734525">
            <w:pPr>
              <w:rPr>
                <w:rFonts w:ascii="Times New Roman" w:eastAsia="Times New Roman" w:hAnsi="Times New Roman" w:cs="Times New Roman"/>
              </w:rPr>
            </w:pPr>
            <w:r w:rsidRPr="004D735A">
              <w:rPr>
                <w:rFonts w:ascii="Times New Roman" w:eastAsia="Calibri" w:hAnsi="Times New Roman" w:cs="Times New Roman"/>
              </w:rPr>
              <w:t>Next 5-Year Review</w:t>
            </w:r>
          </w:p>
        </w:tc>
        <w:tc>
          <w:tcPr>
            <w:tcW w:w="6025" w:type="dxa"/>
          </w:tcPr>
          <w:p w14:paraId="7A79962B" w14:textId="5E61728F" w:rsidR="00734525" w:rsidRPr="004D735A" w:rsidRDefault="007E7A51" w:rsidP="00734525">
            <w:pPr>
              <w:rPr>
                <w:rFonts w:ascii="Times New Roman" w:eastAsia="Times New Roman" w:hAnsi="Times New Roman" w:cs="Times New Roman"/>
              </w:rPr>
            </w:pPr>
            <w:r w:rsidRPr="004D735A">
              <w:rPr>
                <w:rFonts w:ascii="Times New Roman" w:hAnsi="Times New Roman" w:cs="Times New Roman"/>
              </w:rPr>
              <w:t>202</w:t>
            </w:r>
            <w:r w:rsidR="00DC386E">
              <w:rPr>
                <w:rFonts w:ascii="Times New Roman" w:hAnsi="Times New Roman" w:cs="Times New Roman"/>
              </w:rPr>
              <w:t>2</w:t>
            </w:r>
            <w:r w:rsidRPr="004D735A">
              <w:rPr>
                <w:rFonts w:ascii="Times New Roman" w:hAnsi="Times New Roman" w:cs="Times New Roman"/>
              </w:rPr>
              <w:t>-2</w:t>
            </w:r>
            <w:r w:rsidR="00DC386E">
              <w:rPr>
                <w:rFonts w:ascii="Times New Roman" w:hAnsi="Times New Roman" w:cs="Times New Roman"/>
              </w:rPr>
              <w:t>3</w:t>
            </w:r>
            <w:r w:rsidRPr="004D735A">
              <w:rPr>
                <w:rFonts w:ascii="Times New Roman" w:hAnsi="Times New Roman" w:cs="Times New Roman"/>
              </w:rPr>
              <w:t xml:space="preserve"> (extended, for AY 201</w:t>
            </w:r>
            <w:r w:rsidR="006F5470">
              <w:rPr>
                <w:rFonts w:ascii="Times New Roman" w:hAnsi="Times New Roman" w:cs="Times New Roman"/>
              </w:rPr>
              <w:t>6</w:t>
            </w:r>
            <w:r w:rsidRPr="004D735A">
              <w:rPr>
                <w:rFonts w:ascii="Times New Roman" w:hAnsi="Times New Roman" w:cs="Times New Roman"/>
              </w:rPr>
              <w:t>-202</w:t>
            </w:r>
            <w:r w:rsidR="00DC386E">
              <w:rPr>
                <w:rFonts w:ascii="Times New Roman" w:hAnsi="Times New Roman" w:cs="Times New Roman"/>
              </w:rPr>
              <w:t>2</w:t>
            </w:r>
            <w:r w:rsidRPr="004D735A">
              <w:rPr>
                <w:rFonts w:ascii="Times New Roman" w:hAnsi="Times New Roman" w:cs="Times New Roman"/>
              </w:rPr>
              <w:t>)</w:t>
            </w:r>
          </w:p>
        </w:tc>
      </w:tr>
      <w:tr w:rsidR="00734525" w:rsidRPr="004D735A" w14:paraId="07388A5C" w14:textId="77777777" w:rsidTr="00063386">
        <w:tc>
          <w:tcPr>
            <w:tcW w:w="3325" w:type="dxa"/>
          </w:tcPr>
          <w:p w14:paraId="2B6DE105" w14:textId="77777777" w:rsidR="00734525" w:rsidRPr="004D735A" w:rsidRDefault="00734525" w:rsidP="00734525">
            <w:pPr>
              <w:rPr>
                <w:rFonts w:ascii="Times New Roman" w:eastAsia="Times New Roman" w:hAnsi="Times New Roman" w:cs="Times New Roman"/>
              </w:rPr>
            </w:pPr>
            <w:r w:rsidRPr="004D735A">
              <w:rPr>
                <w:rFonts w:ascii="Times New Roman" w:eastAsia="Calibri" w:hAnsi="Times New Roman" w:cs="Times New Roman"/>
              </w:rPr>
              <w:t>Department Chair</w:t>
            </w:r>
          </w:p>
        </w:tc>
        <w:tc>
          <w:tcPr>
            <w:tcW w:w="6025" w:type="dxa"/>
          </w:tcPr>
          <w:p w14:paraId="315E3C35" w14:textId="53A117F1" w:rsidR="00734525" w:rsidRPr="004D735A" w:rsidRDefault="00DC386E" w:rsidP="00734525">
            <w:pPr>
              <w:rPr>
                <w:rFonts w:ascii="Times New Roman" w:eastAsia="Times New Roman" w:hAnsi="Times New Roman" w:cs="Times New Roman"/>
              </w:rPr>
            </w:pPr>
            <w:r>
              <w:rPr>
                <w:rFonts w:ascii="Times New Roman" w:eastAsia="Times New Roman" w:hAnsi="Times New Roman" w:cs="Times New Roman"/>
              </w:rPr>
              <w:t>Keith Inman, Interim</w:t>
            </w:r>
          </w:p>
        </w:tc>
      </w:tr>
      <w:tr w:rsidR="00734525" w:rsidRPr="004D735A" w14:paraId="286DAC9A" w14:textId="77777777" w:rsidTr="00063386">
        <w:tc>
          <w:tcPr>
            <w:tcW w:w="3325" w:type="dxa"/>
          </w:tcPr>
          <w:p w14:paraId="1F209B61" w14:textId="77777777" w:rsidR="00734525" w:rsidRPr="004D735A" w:rsidRDefault="00734525" w:rsidP="00734525">
            <w:pPr>
              <w:rPr>
                <w:rFonts w:ascii="Times New Roman" w:eastAsia="Calibri" w:hAnsi="Times New Roman" w:cs="Times New Roman"/>
              </w:rPr>
            </w:pPr>
            <w:r w:rsidRPr="004D735A">
              <w:rPr>
                <w:rFonts w:ascii="Times New Roman" w:eastAsia="Calibri" w:hAnsi="Times New Roman" w:cs="Times New Roman"/>
              </w:rPr>
              <w:t>Author of Review</w:t>
            </w:r>
          </w:p>
        </w:tc>
        <w:tc>
          <w:tcPr>
            <w:tcW w:w="6025" w:type="dxa"/>
          </w:tcPr>
          <w:p w14:paraId="40F5954E" w14:textId="533FFA46" w:rsidR="00CA5101" w:rsidRPr="00CA5101" w:rsidRDefault="00DC386E" w:rsidP="00734525">
            <w:pPr>
              <w:rPr>
                <w:rFonts w:ascii="Times New Roman" w:hAnsi="Times New Roman" w:cs="Times New Roman"/>
              </w:rPr>
            </w:pPr>
            <w:r>
              <w:rPr>
                <w:rFonts w:ascii="Times New Roman" w:hAnsi="Times New Roman" w:cs="Times New Roman"/>
              </w:rPr>
              <w:t>Keith Inman</w:t>
            </w:r>
          </w:p>
        </w:tc>
      </w:tr>
      <w:tr w:rsidR="00734525" w:rsidRPr="004D735A" w14:paraId="3ECDAF55" w14:textId="77777777" w:rsidTr="00063386">
        <w:tc>
          <w:tcPr>
            <w:tcW w:w="3325" w:type="dxa"/>
          </w:tcPr>
          <w:p w14:paraId="12834C91" w14:textId="77777777" w:rsidR="00734525" w:rsidRPr="004D735A" w:rsidRDefault="00734525" w:rsidP="00734525">
            <w:pPr>
              <w:rPr>
                <w:rFonts w:ascii="Times New Roman" w:eastAsia="Calibri" w:hAnsi="Times New Roman" w:cs="Times New Roman"/>
              </w:rPr>
            </w:pPr>
            <w:r w:rsidRPr="004D735A">
              <w:rPr>
                <w:rFonts w:ascii="Times New Roman" w:eastAsia="Calibri" w:hAnsi="Times New Roman" w:cs="Times New Roman"/>
              </w:rPr>
              <w:t>Date Submitted</w:t>
            </w:r>
          </w:p>
        </w:tc>
        <w:tc>
          <w:tcPr>
            <w:tcW w:w="6025" w:type="dxa"/>
          </w:tcPr>
          <w:p w14:paraId="521D0821" w14:textId="08770BAC" w:rsidR="00734525" w:rsidRPr="004D735A" w:rsidRDefault="004A60F8" w:rsidP="00734525">
            <w:pPr>
              <w:rPr>
                <w:rFonts w:ascii="Times New Roman" w:eastAsia="Times New Roman" w:hAnsi="Times New Roman" w:cs="Times New Roman"/>
              </w:rPr>
            </w:pPr>
            <w:r w:rsidRPr="004D735A">
              <w:rPr>
                <w:rFonts w:ascii="Times New Roman" w:eastAsia="Times New Roman" w:hAnsi="Times New Roman" w:cs="Times New Roman"/>
              </w:rPr>
              <w:t>10/1/2</w:t>
            </w:r>
            <w:r w:rsidR="00DC386E">
              <w:rPr>
                <w:rFonts w:ascii="Times New Roman" w:eastAsia="Times New Roman" w:hAnsi="Times New Roman" w:cs="Times New Roman"/>
              </w:rPr>
              <w:t>2</w:t>
            </w:r>
          </w:p>
        </w:tc>
      </w:tr>
    </w:tbl>
    <w:p w14:paraId="73CC2572" w14:textId="77777777" w:rsidR="00734525" w:rsidRPr="00D60A6A" w:rsidRDefault="00734525" w:rsidP="00734525">
      <w:pPr>
        <w:spacing w:after="0" w:line="240" w:lineRule="auto"/>
        <w:rPr>
          <w:rFonts w:ascii="Times New Roman" w:eastAsia="Times New Roman" w:hAnsi="Times New Roman" w:cs="Times New Roman"/>
        </w:rPr>
      </w:pPr>
    </w:p>
    <w:p w14:paraId="79C570E2" w14:textId="77777777" w:rsidR="00D60A6A" w:rsidRDefault="00D60A6A" w:rsidP="00734525">
      <w:pPr>
        <w:spacing w:after="0" w:line="240" w:lineRule="auto"/>
        <w:rPr>
          <w:rFonts w:ascii="Times New Roman" w:hAnsi="Times New Roman" w:cs="Times New Roman"/>
        </w:rPr>
      </w:pPr>
      <w:r w:rsidRPr="00D60A6A">
        <w:rPr>
          <w:rFonts w:ascii="Times New Roman" w:hAnsi="Times New Roman" w:cs="Times New Roman"/>
          <w:b/>
        </w:rPr>
        <w:t>Five-Year Review Planning Goals</w:t>
      </w:r>
      <w:r w:rsidRPr="00D60A6A">
        <w:rPr>
          <w:rFonts w:ascii="Times New Roman" w:hAnsi="Times New Roman" w:cs="Times New Roman"/>
        </w:rPr>
        <w:t xml:space="preserve"> </w:t>
      </w:r>
    </w:p>
    <w:p w14:paraId="268892A7" w14:textId="77777777" w:rsidR="00A866DA" w:rsidRPr="00D60A6A" w:rsidRDefault="00D60A6A" w:rsidP="00734525">
      <w:pPr>
        <w:spacing w:after="0" w:line="240" w:lineRule="auto"/>
        <w:rPr>
          <w:rFonts w:ascii="Times New Roman" w:eastAsia="Times New Roman" w:hAnsi="Times New Roman" w:cs="Times New Roman"/>
          <w:i/>
        </w:rPr>
      </w:pPr>
      <w:r w:rsidRPr="00D60A6A">
        <w:rPr>
          <w:rFonts w:ascii="Times New Roman" w:hAnsi="Times New Roman" w:cs="Times New Roman"/>
          <w:i/>
        </w:rPr>
        <w:t>Present your planning goals from your last 5-year plan</w:t>
      </w:r>
    </w:p>
    <w:p w14:paraId="51646B2B" w14:textId="77777777" w:rsidR="006F5470" w:rsidRPr="004E3065" w:rsidRDefault="006F5470" w:rsidP="009F2A49">
      <w:pPr>
        <w:pStyle w:val="Default"/>
        <w:numPr>
          <w:ilvl w:val="0"/>
          <w:numId w:val="9"/>
        </w:numPr>
        <w:jc w:val="both"/>
        <w:rPr>
          <w:sz w:val="23"/>
          <w:szCs w:val="23"/>
        </w:rPr>
      </w:pPr>
      <w:r w:rsidRPr="004E3065">
        <w:rPr>
          <w:sz w:val="23"/>
          <w:szCs w:val="23"/>
        </w:rPr>
        <w:t xml:space="preserve">Hire at least 5 new full-time TT faculty to 1) meet the needs of the growing student body and 2) expand the department in a way that better reflects the diversity of the student body. </w:t>
      </w:r>
    </w:p>
    <w:p w14:paraId="14702ECF" w14:textId="4D86560F" w:rsidR="006F5470" w:rsidRPr="004E3065" w:rsidRDefault="006F5470" w:rsidP="009F2A49">
      <w:pPr>
        <w:pStyle w:val="Default"/>
        <w:numPr>
          <w:ilvl w:val="0"/>
          <w:numId w:val="9"/>
        </w:numPr>
        <w:jc w:val="both"/>
        <w:rPr>
          <w:sz w:val="23"/>
          <w:szCs w:val="23"/>
        </w:rPr>
      </w:pPr>
      <w:r w:rsidRPr="004E3065">
        <w:rPr>
          <w:sz w:val="23"/>
          <w:szCs w:val="23"/>
        </w:rPr>
        <w:t xml:space="preserve">Continue to participate in student recruitment efforts through outreach (Al Fresco/Orientation) and advising. </w:t>
      </w:r>
    </w:p>
    <w:p w14:paraId="2EC08681" w14:textId="35A05A5C" w:rsidR="006F5470" w:rsidRPr="004E3065" w:rsidRDefault="006F5470" w:rsidP="009F2A49">
      <w:pPr>
        <w:pStyle w:val="Default"/>
        <w:numPr>
          <w:ilvl w:val="0"/>
          <w:numId w:val="9"/>
        </w:numPr>
        <w:jc w:val="both"/>
        <w:rPr>
          <w:sz w:val="23"/>
          <w:szCs w:val="23"/>
        </w:rPr>
      </w:pPr>
      <w:r w:rsidRPr="004E3065">
        <w:rPr>
          <w:sz w:val="23"/>
          <w:szCs w:val="23"/>
        </w:rPr>
        <w:t>Expand student activities such as clubs and internship opportunities.</w:t>
      </w:r>
    </w:p>
    <w:p w14:paraId="03C92D76" w14:textId="63B75E40" w:rsidR="006F5470" w:rsidRPr="004E3065" w:rsidRDefault="006F5470" w:rsidP="009F2A49">
      <w:pPr>
        <w:pStyle w:val="Default"/>
        <w:numPr>
          <w:ilvl w:val="0"/>
          <w:numId w:val="9"/>
        </w:numPr>
        <w:jc w:val="both"/>
        <w:rPr>
          <w:color w:val="292929"/>
          <w:sz w:val="23"/>
          <w:szCs w:val="23"/>
        </w:rPr>
      </w:pPr>
      <w:r w:rsidRPr="004E3065">
        <w:rPr>
          <w:color w:val="292929"/>
          <w:sz w:val="23"/>
          <w:szCs w:val="23"/>
        </w:rPr>
        <w:t xml:space="preserve">Center/Institute for Social Change. For faculty and students to share research, trends, community service in their diverse areas of interest. </w:t>
      </w:r>
    </w:p>
    <w:p w14:paraId="57E1CC47" w14:textId="0CA7AD7F" w:rsidR="006F5470" w:rsidRPr="004E3065" w:rsidRDefault="006F5470" w:rsidP="009F2A49">
      <w:pPr>
        <w:pStyle w:val="Default"/>
        <w:numPr>
          <w:ilvl w:val="0"/>
          <w:numId w:val="9"/>
        </w:numPr>
        <w:jc w:val="both"/>
        <w:rPr>
          <w:color w:val="292929"/>
          <w:sz w:val="23"/>
          <w:szCs w:val="23"/>
        </w:rPr>
      </w:pPr>
      <w:r w:rsidRPr="004E3065">
        <w:rPr>
          <w:color w:val="292929"/>
          <w:sz w:val="23"/>
          <w:szCs w:val="23"/>
        </w:rPr>
        <w:t xml:space="preserve">Continue to develop additional courses that match the expertise of the faculty. Courses about transnational crime, issues of race in the criminal justice system, and comparative justice system would expand course offerings for students. </w:t>
      </w:r>
    </w:p>
    <w:p w14:paraId="0C66936B" w14:textId="17B7985D" w:rsidR="006F5470" w:rsidRPr="004E3065" w:rsidRDefault="006F5470" w:rsidP="009F2A49">
      <w:pPr>
        <w:pStyle w:val="Default"/>
        <w:numPr>
          <w:ilvl w:val="0"/>
          <w:numId w:val="9"/>
        </w:numPr>
        <w:jc w:val="both"/>
        <w:rPr>
          <w:color w:val="292929"/>
          <w:sz w:val="23"/>
          <w:szCs w:val="23"/>
        </w:rPr>
      </w:pPr>
      <w:r w:rsidRPr="004E3065">
        <w:rPr>
          <w:color w:val="292929"/>
          <w:sz w:val="23"/>
          <w:szCs w:val="23"/>
        </w:rPr>
        <w:t xml:space="preserve">Speaker Series/Panels: On-going series sponsored by the department that could expose students and the community to individuals with expertise in areas of law enforcement, corrections, community corrections, restorative justice, and link theory (link between animal cruelty and other types of crime). </w:t>
      </w:r>
    </w:p>
    <w:p w14:paraId="48AFD980" w14:textId="77777777" w:rsidR="00D60A6A" w:rsidRPr="004E3065" w:rsidRDefault="00D60A6A" w:rsidP="00D60A6A">
      <w:pPr>
        <w:pStyle w:val="ListParagraph"/>
        <w:spacing w:after="0" w:line="240" w:lineRule="auto"/>
        <w:rPr>
          <w:rFonts w:ascii="Times New Roman" w:eastAsia="Times New Roman" w:hAnsi="Times New Roman" w:cs="Times New Roman"/>
          <w:b/>
          <w:bCs/>
        </w:rPr>
      </w:pPr>
    </w:p>
    <w:p w14:paraId="1D37D0AE" w14:textId="77777777" w:rsidR="00734525" w:rsidRPr="00D60A6A" w:rsidRDefault="00734525" w:rsidP="00D60A6A">
      <w:pPr>
        <w:spacing w:after="0" w:line="240" w:lineRule="auto"/>
        <w:rPr>
          <w:rFonts w:ascii="Times New Roman" w:eastAsia="Times New Roman" w:hAnsi="Times New Roman" w:cs="Times New Roman"/>
          <w:bCs/>
          <w:caps/>
        </w:rPr>
      </w:pPr>
      <w:r w:rsidRPr="00D60A6A">
        <w:rPr>
          <w:rFonts w:ascii="Times New Roman" w:eastAsia="Times New Roman" w:hAnsi="Times New Roman" w:cs="Times New Roman"/>
          <w:b/>
          <w:bCs/>
        </w:rPr>
        <w:t>Request for Resources</w:t>
      </w:r>
      <w:r w:rsidRPr="00D60A6A">
        <w:rPr>
          <w:rFonts w:ascii="Times New Roman" w:eastAsia="Times New Roman" w:hAnsi="Times New Roman" w:cs="Times New Roman"/>
          <w:bCs/>
          <w:i/>
        </w:rPr>
        <w:t xml:space="preserve"> (suggested length of 1 page)</w:t>
      </w:r>
    </w:p>
    <w:p w14:paraId="014D5A23" w14:textId="77777777" w:rsidR="008437CF" w:rsidRDefault="008437CF" w:rsidP="008437CF">
      <w:pPr>
        <w:shd w:val="clear" w:color="auto" w:fill="FFFFFF"/>
        <w:spacing w:after="0" w:line="235" w:lineRule="atLeast"/>
        <w:ind w:firstLine="720"/>
        <w:rPr>
          <w:rFonts w:ascii="Times New Roman" w:eastAsia="Times New Roman" w:hAnsi="Times New Roman" w:cs="Times New Roman"/>
          <w:b/>
          <w:bCs/>
          <w:i/>
          <w:color w:val="000000"/>
        </w:rPr>
      </w:pPr>
    </w:p>
    <w:p w14:paraId="0F87A9AA" w14:textId="77777777" w:rsidR="003E0C36" w:rsidRPr="00FC3242" w:rsidRDefault="008437CF" w:rsidP="00842C36">
      <w:pPr>
        <w:shd w:val="clear" w:color="auto" w:fill="FFFFFF"/>
        <w:spacing w:after="0" w:line="235" w:lineRule="atLeast"/>
        <w:rPr>
          <w:rFonts w:ascii="Times New Roman" w:eastAsia="Times New Roman" w:hAnsi="Times New Roman" w:cs="Times New Roman"/>
          <w:lang w:eastAsia="ko-KR"/>
        </w:rPr>
      </w:pPr>
      <w:r w:rsidRPr="00FC3242">
        <w:rPr>
          <w:rFonts w:ascii="Times New Roman" w:eastAsia="Times New Roman" w:hAnsi="Times New Roman" w:cs="Times New Roman"/>
          <w:b/>
          <w:bCs/>
          <w:i/>
        </w:rPr>
        <w:t xml:space="preserve">    </w:t>
      </w:r>
      <w:r w:rsidR="00E95A25" w:rsidRPr="00FC3242">
        <w:rPr>
          <w:rFonts w:ascii="Times New Roman" w:eastAsia="Times New Roman" w:hAnsi="Times New Roman" w:cs="Times New Roman"/>
          <w:b/>
          <w:bCs/>
          <w:i/>
        </w:rPr>
        <w:t xml:space="preserve"> </w:t>
      </w:r>
      <w:r w:rsidR="00734525" w:rsidRPr="00FC3242">
        <w:rPr>
          <w:rFonts w:ascii="Times New Roman" w:eastAsia="Times New Roman" w:hAnsi="Times New Roman" w:cs="Times New Roman"/>
          <w:b/>
          <w:bCs/>
          <w:i/>
        </w:rPr>
        <w:t>Request for Tenure-Track Hires: provide evidence from trends provided</w:t>
      </w:r>
      <w:r w:rsidR="00B83822" w:rsidRPr="00FC3242">
        <w:rPr>
          <w:rFonts w:ascii="Times New Roman" w:eastAsia="Times New Roman" w:hAnsi="Times New Roman" w:cs="Times New Roman"/>
          <w:b/>
          <w:bCs/>
          <w:i/>
        </w:rPr>
        <w:br/>
      </w:r>
    </w:p>
    <w:p w14:paraId="7CF9AAE6" w14:textId="77777777" w:rsidR="00753358" w:rsidRDefault="003E0C36" w:rsidP="009F2A49">
      <w:pPr>
        <w:jc w:val="both"/>
        <w:rPr>
          <w:rFonts w:ascii="Times New Roman" w:eastAsia="Times New Roman" w:hAnsi="Times New Roman" w:cs="Times New Roman"/>
        </w:rPr>
      </w:pPr>
      <w:r w:rsidRPr="00FC3242">
        <w:rPr>
          <w:rFonts w:ascii="Times New Roman" w:eastAsia="Times New Roman" w:hAnsi="Times New Roman" w:cs="Times New Roman"/>
          <w:lang w:eastAsia="ko-KR"/>
        </w:rPr>
        <w:t>In Fall, 202</w:t>
      </w:r>
      <w:r w:rsidR="00B0549E">
        <w:rPr>
          <w:rFonts w:ascii="Times New Roman" w:eastAsia="Times New Roman" w:hAnsi="Times New Roman" w:cs="Times New Roman"/>
          <w:lang w:eastAsia="ko-KR"/>
        </w:rPr>
        <w:t>2</w:t>
      </w:r>
      <w:r w:rsidRPr="00FC3242">
        <w:rPr>
          <w:rFonts w:ascii="Times New Roman" w:eastAsia="Times New Roman" w:hAnsi="Times New Roman" w:cs="Times New Roman"/>
          <w:lang w:eastAsia="ko-KR"/>
        </w:rPr>
        <w:t xml:space="preserve">, there were </w:t>
      </w:r>
      <w:r w:rsidR="00B0549E">
        <w:rPr>
          <w:rFonts w:ascii="Times New Roman" w:eastAsia="Times New Roman" w:hAnsi="Times New Roman" w:cs="Times New Roman"/>
          <w:lang w:eastAsia="ko-KR"/>
        </w:rPr>
        <w:t>7</w:t>
      </w:r>
      <w:r w:rsidRPr="00FC3242">
        <w:rPr>
          <w:rFonts w:ascii="Times New Roman" w:eastAsia="Times New Roman" w:hAnsi="Times New Roman" w:cs="Times New Roman"/>
          <w:lang w:eastAsia="ko-KR"/>
        </w:rPr>
        <w:t xml:space="preserve"> full-time tenured or tenure track </w:t>
      </w:r>
      <w:r w:rsidR="00B0549E">
        <w:rPr>
          <w:rFonts w:ascii="Times New Roman" w:eastAsia="Times New Roman" w:hAnsi="Times New Roman" w:cs="Times New Roman"/>
          <w:lang w:eastAsia="ko-KR"/>
        </w:rPr>
        <w:t>CRJ</w:t>
      </w:r>
      <w:r w:rsidRPr="00FC3242">
        <w:rPr>
          <w:rFonts w:ascii="Times New Roman" w:eastAsia="Times New Roman" w:hAnsi="Times New Roman" w:cs="Times New Roman"/>
          <w:lang w:eastAsia="ko-KR"/>
        </w:rPr>
        <w:t xml:space="preserve"> faculty: (</w:t>
      </w:r>
      <w:proofErr w:type="spellStart"/>
      <w:r w:rsidR="00B0549E">
        <w:rPr>
          <w:rFonts w:ascii="Times New Roman" w:eastAsia="Times New Roman" w:hAnsi="Times New Roman" w:cs="Times New Roman"/>
          <w:lang w:eastAsia="ko-KR"/>
        </w:rPr>
        <w:t>Komorosky</w:t>
      </w:r>
      <w:proofErr w:type="spellEnd"/>
      <w:r w:rsidR="00B0549E">
        <w:rPr>
          <w:rFonts w:ascii="Times New Roman" w:eastAsia="Times New Roman" w:hAnsi="Times New Roman" w:cs="Times New Roman"/>
          <w:lang w:eastAsia="ko-KR"/>
        </w:rPr>
        <w:t xml:space="preserve">, Inman, </w:t>
      </w:r>
      <w:proofErr w:type="spellStart"/>
      <w:r w:rsidR="00B0549E">
        <w:rPr>
          <w:rFonts w:ascii="Times New Roman" w:eastAsia="Times New Roman" w:hAnsi="Times New Roman" w:cs="Times New Roman"/>
          <w:lang w:eastAsia="ko-KR"/>
        </w:rPr>
        <w:t>Rippy</w:t>
      </w:r>
      <w:proofErr w:type="spellEnd"/>
      <w:r w:rsidR="00B0549E">
        <w:rPr>
          <w:rFonts w:ascii="Times New Roman" w:eastAsia="Times New Roman" w:hAnsi="Times New Roman" w:cs="Times New Roman"/>
          <w:lang w:eastAsia="ko-KR"/>
        </w:rPr>
        <w:t xml:space="preserve">, Jackson, Lepage, </w:t>
      </w:r>
      <w:proofErr w:type="spellStart"/>
      <w:r w:rsidR="00B0549E">
        <w:rPr>
          <w:rFonts w:ascii="Times New Roman" w:eastAsia="Times New Roman" w:hAnsi="Times New Roman" w:cs="Times New Roman"/>
          <w:lang w:eastAsia="ko-KR"/>
        </w:rPr>
        <w:t>Paek</w:t>
      </w:r>
      <w:proofErr w:type="spellEnd"/>
      <w:r w:rsidR="00B0549E">
        <w:rPr>
          <w:rFonts w:ascii="Times New Roman" w:eastAsia="Times New Roman" w:hAnsi="Times New Roman" w:cs="Times New Roman"/>
          <w:lang w:eastAsia="ko-KR"/>
        </w:rPr>
        <w:t>, and Palmore</w:t>
      </w:r>
      <w:r w:rsidRPr="00FC3242">
        <w:rPr>
          <w:rFonts w:ascii="Times New Roman" w:eastAsia="Times New Roman" w:hAnsi="Times New Roman" w:cs="Times New Roman"/>
          <w:lang w:eastAsia="ko-KR"/>
        </w:rPr>
        <w:t>)</w:t>
      </w:r>
      <w:r w:rsidR="00B0549E">
        <w:rPr>
          <w:rFonts w:ascii="Times New Roman" w:eastAsia="Times New Roman" w:hAnsi="Times New Roman" w:cs="Times New Roman"/>
          <w:lang w:eastAsia="ko-KR"/>
        </w:rPr>
        <w:t>. CRJ</w:t>
      </w:r>
      <w:r w:rsidRPr="00FC3242">
        <w:rPr>
          <w:rFonts w:ascii="Times New Roman" w:eastAsia="Times New Roman" w:hAnsi="Times New Roman" w:cs="Times New Roman"/>
          <w:lang w:eastAsia="ko-KR"/>
        </w:rPr>
        <w:t xml:space="preserve"> </w:t>
      </w:r>
      <w:r w:rsidR="00B0549E">
        <w:rPr>
          <w:rFonts w:ascii="Times New Roman" w:eastAsia="Times New Roman" w:hAnsi="Times New Roman" w:cs="Times New Roman"/>
          <w:lang w:eastAsia="ko-KR"/>
        </w:rPr>
        <w:t xml:space="preserve">relies on </w:t>
      </w:r>
      <w:r w:rsidR="009F2A49">
        <w:rPr>
          <w:rFonts w:ascii="Times New Roman" w:eastAsia="Times New Roman" w:hAnsi="Times New Roman" w:cs="Times New Roman"/>
          <w:lang w:eastAsia="ko-KR"/>
        </w:rPr>
        <w:t xml:space="preserve">a cadre of 23 </w:t>
      </w:r>
      <w:r w:rsidRPr="00FC3242">
        <w:rPr>
          <w:rFonts w:ascii="Times New Roman" w:eastAsia="Times New Roman" w:hAnsi="Times New Roman" w:cs="Times New Roman"/>
          <w:lang w:eastAsia="ko-KR"/>
        </w:rPr>
        <w:t>lecturers</w:t>
      </w:r>
      <w:r w:rsidR="009F2A49">
        <w:rPr>
          <w:rFonts w:ascii="Times New Roman" w:eastAsia="Times New Roman" w:hAnsi="Times New Roman" w:cs="Times New Roman"/>
          <w:lang w:eastAsia="ko-KR"/>
        </w:rPr>
        <w:t xml:space="preserve"> (11 of which are typically active during an academic year)</w:t>
      </w:r>
      <w:r w:rsidRPr="00FC3242">
        <w:rPr>
          <w:rFonts w:ascii="Times New Roman" w:eastAsia="Times New Roman" w:hAnsi="Times New Roman" w:cs="Times New Roman"/>
          <w:lang w:eastAsia="ko-KR"/>
        </w:rPr>
        <w:t xml:space="preserve">, </w:t>
      </w:r>
      <w:r w:rsidR="009F2A49">
        <w:rPr>
          <w:rFonts w:ascii="Times New Roman" w:eastAsia="Times New Roman" w:hAnsi="Times New Roman" w:cs="Times New Roman"/>
          <w:lang w:eastAsia="ko-KR"/>
        </w:rPr>
        <w:t>all of whom possess</w:t>
      </w:r>
      <w:r w:rsidRPr="00FC3242">
        <w:rPr>
          <w:rFonts w:ascii="Times New Roman" w:eastAsia="Times New Roman" w:hAnsi="Times New Roman" w:cs="Times New Roman"/>
          <w:lang w:eastAsia="ko-KR"/>
        </w:rPr>
        <w:t xml:space="preserve"> professional work experience in the </w:t>
      </w:r>
      <w:r w:rsidR="009F2A49">
        <w:rPr>
          <w:rFonts w:ascii="Times New Roman" w:eastAsia="Times New Roman" w:hAnsi="Times New Roman" w:cs="Times New Roman"/>
          <w:lang w:eastAsia="ko-KR"/>
        </w:rPr>
        <w:t>discipline</w:t>
      </w:r>
      <w:r w:rsidRPr="00FC3242">
        <w:rPr>
          <w:rFonts w:ascii="Times New Roman" w:eastAsia="Times New Roman" w:hAnsi="Times New Roman" w:cs="Times New Roman"/>
          <w:lang w:eastAsia="ko-KR"/>
        </w:rPr>
        <w:t xml:space="preserve">. </w:t>
      </w:r>
      <w:r w:rsidR="009F2A49">
        <w:rPr>
          <w:rFonts w:ascii="Times New Roman" w:eastAsia="Times New Roman" w:hAnsi="Times New Roman" w:cs="Times New Roman"/>
          <w:lang w:eastAsia="ko-KR"/>
        </w:rPr>
        <w:t xml:space="preserve">One tenured professor, Dr. </w:t>
      </w:r>
      <w:proofErr w:type="spellStart"/>
      <w:r w:rsidR="009F2A49">
        <w:rPr>
          <w:rFonts w:ascii="Times New Roman" w:eastAsia="Times New Roman" w:hAnsi="Times New Roman" w:cs="Times New Roman"/>
          <w:lang w:eastAsia="ko-KR"/>
        </w:rPr>
        <w:t>Silvina</w:t>
      </w:r>
      <w:proofErr w:type="spellEnd"/>
      <w:r w:rsidR="009F2A49">
        <w:rPr>
          <w:rFonts w:ascii="Times New Roman" w:eastAsia="Times New Roman" w:hAnsi="Times New Roman" w:cs="Times New Roman"/>
          <w:lang w:eastAsia="ko-KR"/>
        </w:rPr>
        <w:t xml:space="preserve"> Ituarte, took a position as the </w:t>
      </w:r>
      <w:r w:rsidR="009F2A49" w:rsidRPr="009F2A49">
        <w:rPr>
          <w:rFonts w:ascii="Times New Roman" w:eastAsia="Times New Roman" w:hAnsi="Times New Roman" w:cs="Times New Roman"/>
        </w:rPr>
        <w:t>Associate Provost for Faculty Affairs</w:t>
      </w:r>
      <w:r w:rsidR="009F2A49">
        <w:rPr>
          <w:rFonts w:ascii="Times New Roman" w:eastAsia="Times New Roman" w:hAnsi="Times New Roman" w:cs="Times New Roman"/>
        </w:rPr>
        <w:t xml:space="preserve"> this academic year (AY 22/23), and is expected to retain that position permanently. In addition, one tenure </w:t>
      </w:r>
      <w:proofErr w:type="gramStart"/>
      <w:r w:rsidR="009F2A49">
        <w:rPr>
          <w:rFonts w:ascii="Times New Roman" w:eastAsia="Times New Roman" w:hAnsi="Times New Roman" w:cs="Times New Roman"/>
        </w:rPr>
        <w:t>track</w:t>
      </w:r>
      <w:proofErr w:type="gramEnd"/>
      <w:r w:rsidR="009F2A49">
        <w:rPr>
          <w:rFonts w:ascii="Times New Roman" w:eastAsia="Times New Roman" w:hAnsi="Times New Roman" w:cs="Times New Roman"/>
        </w:rPr>
        <w:t xml:space="preserve"> Assistant Professor, Dr. Sanjay </w:t>
      </w:r>
      <w:proofErr w:type="spellStart"/>
      <w:r w:rsidR="009F2A49">
        <w:rPr>
          <w:rFonts w:ascii="Times New Roman" w:eastAsia="Times New Roman" w:hAnsi="Times New Roman" w:cs="Times New Roman"/>
        </w:rPr>
        <w:t>Marwah</w:t>
      </w:r>
      <w:proofErr w:type="spellEnd"/>
      <w:r w:rsidR="009F2A49">
        <w:rPr>
          <w:rFonts w:ascii="Times New Roman" w:eastAsia="Times New Roman" w:hAnsi="Times New Roman" w:cs="Times New Roman"/>
        </w:rPr>
        <w:t xml:space="preserve">, left his </w:t>
      </w:r>
      <w:r w:rsidR="00715A92">
        <w:rPr>
          <w:rFonts w:ascii="Times New Roman" w:eastAsia="Times New Roman" w:hAnsi="Times New Roman" w:cs="Times New Roman"/>
        </w:rPr>
        <w:t xml:space="preserve">post in AY 21/22. </w:t>
      </w:r>
    </w:p>
    <w:p w14:paraId="5AF34EFB" w14:textId="706C7B9B" w:rsidR="004B6447" w:rsidRDefault="00715A92" w:rsidP="004B6447">
      <w:pPr>
        <w:jc w:val="both"/>
        <w:rPr>
          <w:rFonts w:ascii="Times New Roman" w:eastAsia="Times New Roman" w:hAnsi="Times New Roman" w:cs="Times New Roman"/>
          <w:lang w:eastAsia="ko-KR"/>
        </w:rPr>
      </w:pPr>
      <w:r>
        <w:rPr>
          <w:rFonts w:ascii="Times New Roman" w:eastAsia="Times New Roman" w:hAnsi="Times New Roman" w:cs="Times New Roman"/>
          <w:lang w:eastAsia="ko-KR"/>
        </w:rPr>
        <w:t>T</w:t>
      </w:r>
      <w:r w:rsidR="003E0C36" w:rsidRPr="00FC3242">
        <w:rPr>
          <w:rFonts w:ascii="Times New Roman" w:eastAsia="Times New Roman" w:hAnsi="Times New Roman" w:cs="Times New Roman"/>
          <w:lang w:eastAsia="ko-KR"/>
        </w:rPr>
        <w:t xml:space="preserve">he number of tenure track </w:t>
      </w:r>
      <w:r>
        <w:rPr>
          <w:rFonts w:ascii="Times New Roman" w:eastAsia="Times New Roman" w:hAnsi="Times New Roman" w:cs="Times New Roman"/>
          <w:lang w:eastAsia="ko-KR"/>
        </w:rPr>
        <w:t>faculty has remained constant over the last 5-7 years</w:t>
      </w:r>
      <w:r w:rsidR="003E0C36" w:rsidRPr="00FC3242">
        <w:rPr>
          <w:rFonts w:ascii="Times New Roman" w:eastAsia="Times New Roman" w:hAnsi="Times New Roman" w:cs="Times New Roman"/>
          <w:lang w:eastAsia="ko-KR"/>
        </w:rPr>
        <w:t xml:space="preserve">, </w:t>
      </w:r>
      <w:r>
        <w:rPr>
          <w:rFonts w:ascii="Times New Roman" w:eastAsia="Times New Roman" w:hAnsi="Times New Roman" w:cs="Times New Roman"/>
          <w:lang w:eastAsia="ko-KR"/>
        </w:rPr>
        <w:t xml:space="preserve">and </w:t>
      </w:r>
      <w:r w:rsidR="00842C36">
        <w:rPr>
          <w:rFonts w:ascii="Times New Roman" w:eastAsia="Times New Roman" w:hAnsi="Times New Roman" w:cs="Times New Roman"/>
          <w:lang w:eastAsia="ko-KR"/>
        </w:rPr>
        <w:t xml:space="preserve">the staffing of classes </w:t>
      </w:r>
      <w:r>
        <w:rPr>
          <w:rFonts w:ascii="Times New Roman" w:eastAsia="Times New Roman" w:hAnsi="Times New Roman" w:cs="Times New Roman"/>
          <w:lang w:eastAsia="ko-KR"/>
        </w:rPr>
        <w:t xml:space="preserve">has always </w:t>
      </w:r>
      <w:r w:rsidR="00842C36">
        <w:rPr>
          <w:rFonts w:ascii="Times New Roman" w:eastAsia="Times New Roman" w:hAnsi="Times New Roman" w:cs="Times New Roman"/>
          <w:lang w:eastAsia="ko-KR"/>
        </w:rPr>
        <w:t xml:space="preserve">relied heavily on lecturers. </w:t>
      </w:r>
      <w:r w:rsidR="004B6447">
        <w:rPr>
          <w:rFonts w:ascii="Times New Roman" w:eastAsia="Times New Roman" w:hAnsi="Times New Roman" w:cs="Times New Roman"/>
          <w:lang w:eastAsia="ko-KR"/>
        </w:rPr>
        <w:t>CRJ does its own major and career advising as well; this means that each faculty member may advise between 60 – 80 students per semester, depending</w:t>
      </w:r>
      <w:r w:rsidR="006D5041">
        <w:rPr>
          <w:rFonts w:ascii="Times New Roman" w:eastAsia="Times New Roman" w:hAnsi="Times New Roman" w:cs="Times New Roman"/>
          <w:lang w:eastAsia="ko-KR"/>
        </w:rPr>
        <w:t xml:space="preserve"> on</w:t>
      </w:r>
      <w:r w:rsidR="004B6447">
        <w:rPr>
          <w:rFonts w:ascii="Times New Roman" w:eastAsia="Times New Roman" w:hAnsi="Times New Roman" w:cs="Times New Roman"/>
          <w:lang w:eastAsia="ko-KR"/>
        </w:rPr>
        <w:t xml:space="preserve"> enrollment for the particular semester. </w:t>
      </w:r>
      <w:r w:rsidR="00115DD0">
        <w:rPr>
          <w:rFonts w:ascii="Times New Roman" w:eastAsia="Times New Roman" w:hAnsi="Times New Roman" w:cs="Times New Roman"/>
        </w:rPr>
        <w:t xml:space="preserve">The current ratio of tenure/tenure track to </w:t>
      </w:r>
      <w:r w:rsidR="00115DD0">
        <w:rPr>
          <w:rFonts w:ascii="Times New Roman" w:eastAsia="Times New Roman" w:hAnsi="Times New Roman" w:cs="Times New Roman"/>
        </w:rPr>
        <w:t xml:space="preserve">active </w:t>
      </w:r>
      <w:r w:rsidR="00115DD0">
        <w:rPr>
          <w:rFonts w:ascii="Times New Roman" w:eastAsia="Times New Roman" w:hAnsi="Times New Roman" w:cs="Times New Roman"/>
        </w:rPr>
        <w:t xml:space="preserve">lecturers is 39:61. Assuming </w:t>
      </w:r>
      <w:r w:rsidR="00115DD0">
        <w:rPr>
          <w:rFonts w:ascii="Times New Roman" w:eastAsia="Times New Roman" w:hAnsi="Times New Roman" w:cs="Times New Roman"/>
          <w:lang w:eastAsia="ko-KR"/>
        </w:rPr>
        <w:t>a</w:t>
      </w:r>
      <w:r w:rsidR="00115DD0" w:rsidRPr="00FC3242">
        <w:rPr>
          <w:rFonts w:ascii="Times New Roman" w:eastAsia="Times New Roman" w:hAnsi="Times New Roman" w:cs="Times New Roman"/>
          <w:lang w:eastAsia="ko-KR"/>
        </w:rPr>
        <w:t xml:space="preserve"> goal </w:t>
      </w:r>
      <w:r w:rsidR="00115DD0">
        <w:rPr>
          <w:rFonts w:ascii="Times New Roman" w:eastAsia="Times New Roman" w:hAnsi="Times New Roman" w:cs="Times New Roman"/>
          <w:lang w:eastAsia="ko-KR"/>
        </w:rPr>
        <w:t>of</w:t>
      </w:r>
      <w:r w:rsidR="00115DD0" w:rsidRPr="00FC3242">
        <w:rPr>
          <w:rFonts w:ascii="Times New Roman" w:eastAsia="Times New Roman" w:hAnsi="Times New Roman" w:cs="Times New Roman"/>
          <w:lang w:eastAsia="ko-KR"/>
        </w:rPr>
        <w:t xml:space="preserve"> a ratio of 60% tenure/tenure track to 40% lecturers</w:t>
      </w:r>
      <w:r w:rsidR="00115DD0">
        <w:rPr>
          <w:rFonts w:ascii="Times New Roman" w:eastAsia="Times New Roman" w:hAnsi="Times New Roman" w:cs="Times New Roman"/>
          <w:lang w:eastAsia="ko-KR"/>
        </w:rPr>
        <w:t>, CRJ needs a</w:t>
      </w:r>
      <w:r w:rsidR="00115DD0" w:rsidRPr="00FC3242">
        <w:rPr>
          <w:rFonts w:ascii="Times New Roman" w:eastAsia="Times New Roman" w:hAnsi="Times New Roman" w:cs="Times New Roman"/>
          <w:lang w:eastAsia="ko-KR"/>
        </w:rPr>
        <w:t xml:space="preserve">dditional tenure-track faculty positions to assure </w:t>
      </w:r>
      <w:r w:rsidR="00115DD0">
        <w:rPr>
          <w:rFonts w:ascii="Times New Roman" w:eastAsia="Times New Roman" w:hAnsi="Times New Roman" w:cs="Times New Roman"/>
          <w:lang w:eastAsia="ko-KR"/>
        </w:rPr>
        <w:t>the</w:t>
      </w:r>
      <w:r w:rsidR="00115DD0" w:rsidRPr="00FC3242">
        <w:rPr>
          <w:rFonts w:ascii="Times New Roman" w:eastAsia="Times New Roman" w:hAnsi="Times New Roman" w:cs="Times New Roman"/>
          <w:lang w:eastAsia="ko-KR"/>
        </w:rPr>
        <w:t xml:space="preserve"> program area is fully</w:t>
      </w:r>
      <w:r w:rsidR="00115DD0">
        <w:rPr>
          <w:rFonts w:ascii="Times New Roman" w:eastAsia="Times New Roman" w:hAnsi="Times New Roman" w:cs="Times New Roman"/>
          <w:lang w:eastAsia="ko-KR"/>
        </w:rPr>
        <w:t xml:space="preserve"> and properly</w:t>
      </w:r>
      <w:r w:rsidR="00115DD0" w:rsidRPr="00FC3242">
        <w:rPr>
          <w:rFonts w:ascii="Times New Roman" w:eastAsia="Times New Roman" w:hAnsi="Times New Roman" w:cs="Times New Roman"/>
          <w:lang w:eastAsia="ko-KR"/>
        </w:rPr>
        <w:t xml:space="preserve"> staffed</w:t>
      </w:r>
      <w:r w:rsidR="00115DD0">
        <w:rPr>
          <w:rFonts w:ascii="Times New Roman" w:eastAsia="Times New Roman" w:hAnsi="Times New Roman" w:cs="Times New Roman"/>
          <w:lang w:eastAsia="ko-KR"/>
        </w:rPr>
        <w:t xml:space="preserve"> for both teaching and advising responsibilities</w:t>
      </w:r>
      <w:r w:rsidR="004B6447">
        <w:rPr>
          <w:rFonts w:ascii="Times New Roman" w:eastAsia="Times New Roman" w:hAnsi="Times New Roman" w:cs="Times New Roman"/>
          <w:lang w:eastAsia="ko-KR"/>
        </w:rPr>
        <w:t>.</w:t>
      </w:r>
    </w:p>
    <w:p w14:paraId="3AB4C644" w14:textId="2FA085E1" w:rsidR="00FC3242" w:rsidRPr="00FC3242" w:rsidRDefault="00370F3A" w:rsidP="004B6447">
      <w:pPr>
        <w:jc w:val="both"/>
        <w:rPr>
          <w:rFonts w:ascii="Times New Roman" w:hAnsi="Times New Roman" w:cs="Times New Roman"/>
        </w:rPr>
      </w:pPr>
      <w:r>
        <w:rPr>
          <w:rFonts w:ascii="Times New Roman" w:eastAsia="Times New Roman" w:hAnsi="Times New Roman" w:cs="Times New Roman"/>
          <w:lang w:eastAsia="ko-KR"/>
        </w:rPr>
        <w:t xml:space="preserve">The </w:t>
      </w:r>
      <w:r w:rsidR="00842C36">
        <w:rPr>
          <w:rFonts w:ascii="Times New Roman" w:eastAsia="Times New Roman" w:hAnsi="Times New Roman" w:cs="Times New Roman"/>
          <w:lang w:eastAsia="ko-KR"/>
        </w:rPr>
        <w:t xml:space="preserve">Department of Criminal Justice will </w:t>
      </w:r>
      <w:r w:rsidR="003E0C36" w:rsidRPr="00FC3242">
        <w:rPr>
          <w:rFonts w:ascii="Times New Roman" w:eastAsia="Times New Roman" w:hAnsi="Times New Roman" w:cs="Times New Roman"/>
          <w:lang w:eastAsia="ko-KR"/>
        </w:rPr>
        <w:t xml:space="preserve">request </w:t>
      </w:r>
      <w:r w:rsidR="00842C36">
        <w:rPr>
          <w:rFonts w:ascii="Times New Roman" w:eastAsia="Times New Roman" w:hAnsi="Times New Roman" w:cs="Times New Roman"/>
          <w:lang w:eastAsia="ko-KR"/>
        </w:rPr>
        <w:t xml:space="preserve">at least one </w:t>
      </w:r>
      <w:r w:rsidR="003E0C36" w:rsidRPr="00FC3242">
        <w:rPr>
          <w:rFonts w:ascii="Times New Roman" w:eastAsia="Times New Roman" w:hAnsi="Times New Roman" w:cs="Times New Roman"/>
          <w:lang w:eastAsia="ko-KR"/>
        </w:rPr>
        <w:t>new tenure-track hire for th</w:t>
      </w:r>
      <w:r w:rsidR="004055C4">
        <w:rPr>
          <w:rFonts w:ascii="Times New Roman" w:eastAsia="Times New Roman" w:hAnsi="Times New Roman" w:cs="Times New Roman"/>
          <w:lang w:eastAsia="ko-KR"/>
        </w:rPr>
        <w:t>e next</w:t>
      </w:r>
      <w:r w:rsidR="003E0C36" w:rsidRPr="00FC3242">
        <w:rPr>
          <w:rFonts w:ascii="Times New Roman" w:eastAsia="Times New Roman" w:hAnsi="Times New Roman" w:cs="Times New Roman"/>
          <w:lang w:eastAsia="ko-KR"/>
        </w:rPr>
        <w:t xml:space="preserve"> academic year of 202</w:t>
      </w:r>
      <w:r w:rsidR="00842C36">
        <w:rPr>
          <w:rFonts w:ascii="Times New Roman" w:eastAsia="Times New Roman" w:hAnsi="Times New Roman" w:cs="Times New Roman"/>
          <w:lang w:eastAsia="ko-KR"/>
        </w:rPr>
        <w:t>3</w:t>
      </w:r>
      <w:r w:rsidR="003E0C36" w:rsidRPr="00FC3242">
        <w:rPr>
          <w:rFonts w:ascii="Times New Roman" w:eastAsia="Times New Roman" w:hAnsi="Times New Roman" w:cs="Times New Roman"/>
          <w:lang w:eastAsia="ko-KR"/>
        </w:rPr>
        <w:t>-202</w:t>
      </w:r>
      <w:r w:rsidR="00842C36">
        <w:rPr>
          <w:rFonts w:ascii="Times New Roman" w:eastAsia="Times New Roman" w:hAnsi="Times New Roman" w:cs="Times New Roman"/>
          <w:lang w:eastAsia="ko-KR"/>
        </w:rPr>
        <w:t xml:space="preserve">4 to replace one of the two TT faculty lost to other endeavors. </w:t>
      </w:r>
    </w:p>
    <w:sectPr w:rsidR="00FC3242" w:rsidRPr="00FC3242" w:rsidSect="00115DD0">
      <w:headerReference w:type="default" r:id="rId7"/>
      <w:footerReference w:type="default" r:id="rId8"/>
      <w:pgSz w:w="12240" w:h="15840"/>
      <w:pgMar w:top="954" w:right="1080" w:bottom="130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6FAC" w14:textId="77777777" w:rsidR="00723A03" w:rsidRDefault="00723A03" w:rsidP="00734525">
      <w:pPr>
        <w:spacing w:after="0" w:line="240" w:lineRule="auto"/>
      </w:pPr>
      <w:r>
        <w:separator/>
      </w:r>
    </w:p>
  </w:endnote>
  <w:endnote w:type="continuationSeparator" w:id="0">
    <w:p w14:paraId="338F1D00" w14:textId="77777777" w:rsidR="00723A03" w:rsidRDefault="00723A03" w:rsidP="0073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8510" w14:textId="77777777" w:rsidR="00F85A84" w:rsidRDefault="00F8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0555" w14:textId="77777777" w:rsidR="00723A03" w:rsidRDefault="00723A03" w:rsidP="00734525">
      <w:pPr>
        <w:spacing w:after="0" w:line="240" w:lineRule="auto"/>
      </w:pPr>
      <w:r>
        <w:separator/>
      </w:r>
    </w:p>
  </w:footnote>
  <w:footnote w:type="continuationSeparator" w:id="0">
    <w:p w14:paraId="725345A1" w14:textId="77777777" w:rsidR="00723A03" w:rsidRDefault="00723A03" w:rsidP="0073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A085" w14:textId="77777777" w:rsidR="00734525" w:rsidRPr="00734525" w:rsidRDefault="00734525" w:rsidP="00734525">
    <w:pPr>
      <w:pStyle w:val="Header"/>
    </w:pPr>
    <w:r w:rsidRPr="007345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69"/>
    <w:multiLevelType w:val="hybridMultilevel"/>
    <w:tmpl w:val="9B545B0C"/>
    <w:lvl w:ilvl="0" w:tplc="7F3A6120">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83A42B4"/>
    <w:multiLevelType w:val="hybridMultilevel"/>
    <w:tmpl w:val="B1685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53A2"/>
    <w:multiLevelType w:val="hybridMultilevel"/>
    <w:tmpl w:val="2722CE78"/>
    <w:lvl w:ilvl="0" w:tplc="43129492">
      <w:start w:val="1"/>
      <w:numFmt w:val="upperLetter"/>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2394F52"/>
    <w:multiLevelType w:val="hybridMultilevel"/>
    <w:tmpl w:val="D9F64FCE"/>
    <w:lvl w:ilvl="0" w:tplc="F6E2CD9E">
      <w:start w:val="1"/>
      <w:numFmt w:val="upperLetter"/>
      <w:lvlText w:val="%1."/>
      <w:lvlJc w:val="left"/>
      <w:pPr>
        <w:ind w:left="630" w:hanging="360"/>
      </w:pPr>
      <w:rPr>
        <w:rFonts w:hint="default"/>
        <w:b/>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5272AB4"/>
    <w:multiLevelType w:val="hybridMultilevel"/>
    <w:tmpl w:val="C4C425E6"/>
    <w:lvl w:ilvl="0" w:tplc="9F307D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C34BD"/>
    <w:multiLevelType w:val="hybridMultilevel"/>
    <w:tmpl w:val="A87C1848"/>
    <w:lvl w:ilvl="0" w:tplc="0264232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CE96887"/>
    <w:multiLevelType w:val="hybridMultilevel"/>
    <w:tmpl w:val="3A148A90"/>
    <w:lvl w:ilvl="0" w:tplc="5E0A12B0">
      <w:start w:val="1"/>
      <w:numFmt w:val="decimal"/>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71CA9"/>
    <w:multiLevelType w:val="hybridMultilevel"/>
    <w:tmpl w:val="775205FA"/>
    <w:lvl w:ilvl="0" w:tplc="37CE35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5004288"/>
    <w:multiLevelType w:val="hybridMultilevel"/>
    <w:tmpl w:val="5DD0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F3C27"/>
    <w:multiLevelType w:val="hybridMultilevel"/>
    <w:tmpl w:val="DE7AA202"/>
    <w:lvl w:ilvl="0" w:tplc="142EA09A">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118481">
    <w:abstractNumId w:val="3"/>
  </w:num>
  <w:num w:numId="2" w16cid:durableId="486944716">
    <w:abstractNumId w:val="0"/>
  </w:num>
  <w:num w:numId="3" w16cid:durableId="1906446788">
    <w:abstractNumId w:val="5"/>
  </w:num>
  <w:num w:numId="4" w16cid:durableId="1849980980">
    <w:abstractNumId w:val="2"/>
  </w:num>
  <w:num w:numId="5" w16cid:durableId="1398354790">
    <w:abstractNumId w:val="7"/>
  </w:num>
  <w:num w:numId="6" w16cid:durableId="1380203879">
    <w:abstractNumId w:val="1"/>
  </w:num>
  <w:num w:numId="7" w16cid:durableId="1924024835">
    <w:abstractNumId w:val="6"/>
  </w:num>
  <w:num w:numId="8" w16cid:durableId="319892637">
    <w:abstractNumId w:val="9"/>
  </w:num>
  <w:num w:numId="9" w16cid:durableId="1879389733">
    <w:abstractNumId w:val="8"/>
  </w:num>
  <w:num w:numId="10" w16cid:durableId="54747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25"/>
    <w:rsid w:val="00063386"/>
    <w:rsid w:val="00064422"/>
    <w:rsid w:val="00091B1E"/>
    <w:rsid w:val="000968F2"/>
    <w:rsid w:val="000D4F47"/>
    <w:rsid w:val="000D7965"/>
    <w:rsid w:val="00115DD0"/>
    <w:rsid w:val="00121C7A"/>
    <w:rsid w:val="00174494"/>
    <w:rsid w:val="001D5F19"/>
    <w:rsid w:val="00202D85"/>
    <w:rsid w:val="00224B64"/>
    <w:rsid w:val="002E662F"/>
    <w:rsid w:val="0031299C"/>
    <w:rsid w:val="00323295"/>
    <w:rsid w:val="00370217"/>
    <w:rsid w:val="00370F3A"/>
    <w:rsid w:val="003E0C36"/>
    <w:rsid w:val="004055C4"/>
    <w:rsid w:val="00431BF9"/>
    <w:rsid w:val="0044065D"/>
    <w:rsid w:val="004754DD"/>
    <w:rsid w:val="004A60F8"/>
    <w:rsid w:val="004B6447"/>
    <w:rsid w:val="004B6650"/>
    <w:rsid w:val="004D2C5C"/>
    <w:rsid w:val="004D735A"/>
    <w:rsid w:val="004E3065"/>
    <w:rsid w:val="0051303F"/>
    <w:rsid w:val="005D42DA"/>
    <w:rsid w:val="00616319"/>
    <w:rsid w:val="00625053"/>
    <w:rsid w:val="0063013A"/>
    <w:rsid w:val="006D25F5"/>
    <w:rsid w:val="006D5041"/>
    <w:rsid w:val="006F5470"/>
    <w:rsid w:val="00715A92"/>
    <w:rsid w:val="00723A03"/>
    <w:rsid w:val="00734525"/>
    <w:rsid w:val="00736AC4"/>
    <w:rsid w:val="00753358"/>
    <w:rsid w:val="00775180"/>
    <w:rsid w:val="007E2D0D"/>
    <w:rsid w:val="007E7A51"/>
    <w:rsid w:val="008221F5"/>
    <w:rsid w:val="00842C36"/>
    <w:rsid w:val="008437CF"/>
    <w:rsid w:val="009A7A3E"/>
    <w:rsid w:val="009C5ACE"/>
    <w:rsid w:val="009F2A49"/>
    <w:rsid w:val="00A013D5"/>
    <w:rsid w:val="00A429C7"/>
    <w:rsid w:val="00A5726C"/>
    <w:rsid w:val="00A67173"/>
    <w:rsid w:val="00A866DA"/>
    <w:rsid w:val="00A95454"/>
    <w:rsid w:val="00AF31F9"/>
    <w:rsid w:val="00B034D9"/>
    <w:rsid w:val="00B0549E"/>
    <w:rsid w:val="00B173A4"/>
    <w:rsid w:val="00B41EBF"/>
    <w:rsid w:val="00B6701F"/>
    <w:rsid w:val="00B70568"/>
    <w:rsid w:val="00B83822"/>
    <w:rsid w:val="00B9315B"/>
    <w:rsid w:val="00C07AD4"/>
    <w:rsid w:val="00C6467C"/>
    <w:rsid w:val="00CA5101"/>
    <w:rsid w:val="00CB54BD"/>
    <w:rsid w:val="00D525FF"/>
    <w:rsid w:val="00D60A6A"/>
    <w:rsid w:val="00D87D95"/>
    <w:rsid w:val="00DC386E"/>
    <w:rsid w:val="00DC6F77"/>
    <w:rsid w:val="00E35788"/>
    <w:rsid w:val="00E95A25"/>
    <w:rsid w:val="00F005D3"/>
    <w:rsid w:val="00F13689"/>
    <w:rsid w:val="00F32140"/>
    <w:rsid w:val="00F85A84"/>
    <w:rsid w:val="00FC2DEB"/>
    <w:rsid w:val="00FC32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90AC"/>
  <w15:chartTrackingRefBased/>
  <w15:docId w15:val="{4C5E8B56-46AA-4655-83C7-E54D6684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25"/>
  </w:style>
  <w:style w:type="paragraph" w:styleId="Footer">
    <w:name w:val="footer"/>
    <w:basedOn w:val="Normal"/>
    <w:link w:val="FooterChar"/>
    <w:uiPriority w:val="99"/>
    <w:unhideWhenUsed/>
    <w:rsid w:val="0073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25"/>
  </w:style>
  <w:style w:type="paragraph" w:styleId="ListParagraph">
    <w:name w:val="List Paragraph"/>
    <w:basedOn w:val="Normal"/>
    <w:uiPriority w:val="34"/>
    <w:qFormat/>
    <w:rsid w:val="000D7965"/>
    <w:pPr>
      <w:ind w:left="720"/>
      <w:contextualSpacing/>
    </w:pPr>
  </w:style>
  <w:style w:type="paragraph" w:customStyle="1" w:styleId="Default">
    <w:name w:val="Default"/>
    <w:rsid w:val="006F54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2198">
      <w:bodyDiv w:val="1"/>
      <w:marLeft w:val="0"/>
      <w:marRight w:val="0"/>
      <w:marTop w:val="0"/>
      <w:marBottom w:val="0"/>
      <w:divBdr>
        <w:top w:val="none" w:sz="0" w:space="0" w:color="auto"/>
        <w:left w:val="none" w:sz="0" w:space="0" w:color="auto"/>
        <w:bottom w:val="none" w:sz="0" w:space="0" w:color="auto"/>
        <w:right w:val="none" w:sz="0" w:space="0" w:color="auto"/>
      </w:divBdr>
    </w:div>
    <w:div w:id="13755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Keith Inman</cp:lastModifiedBy>
  <cp:revision>3</cp:revision>
  <dcterms:created xsi:type="dcterms:W3CDTF">2022-10-05T17:41:00Z</dcterms:created>
  <dcterms:modified xsi:type="dcterms:W3CDTF">2022-10-05T17:46:00Z</dcterms:modified>
</cp:coreProperties>
</file>