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5011BE" w:rsidRDefault="007A55FE" w:rsidP="007A55FE">
      <w:pPr>
        <w:jc w:val="center"/>
        <w:rPr>
          <w:b/>
          <w:u w:val="single"/>
        </w:rPr>
      </w:pPr>
      <w:r w:rsidRPr="005011BE">
        <w:rPr>
          <w:b/>
          <w:u w:val="single"/>
        </w:rPr>
        <w:t>2012-2013 CLASS FACT Assessment Year End Report, June, 2013</w:t>
      </w:r>
    </w:p>
    <w:p w:rsidR="007A55FE" w:rsidRPr="005011B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RPr="005011BE" w:rsidTr="007A55FE">
        <w:tc>
          <w:tcPr>
            <w:tcW w:w="3192" w:type="dxa"/>
          </w:tcPr>
          <w:p w:rsidR="007A55FE" w:rsidRPr="005011BE" w:rsidRDefault="007A55FE" w:rsidP="007A55FE">
            <w:pPr>
              <w:jc w:val="center"/>
              <w:rPr>
                <w:rFonts w:ascii="Times New Roman" w:hAnsi="Times New Roman" w:cs="Times New Roman"/>
                <w:b/>
              </w:rPr>
            </w:pPr>
            <w:r w:rsidRPr="005011BE">
              <w:rPr>
                <w:rFonts w:ascii="Times New Roman" w:hAnsi="Times New Roman" w:cs="Times New Roman"/>
                <w:b/>
              </w:rPr>
              <w:t>Program Name(s)</w:t>
            </w:r>
          </w:p>
        </w:tc>
        <w:tc>
          <w:tcPr>
            <w:tcW w:w="3192" w:type="dxa"/>
          </w:tcPr>
          <w:p w:rsidR="007A55FE" w:rsidRPr="005011BE" w:rsidRDefault="007A55FE" w:rsidP="007A55FE">
            <w:pPr>
              <w:jc w:val="center"/>
              <w:rPr>
                <w:rFonts w:ascii="Times New Roman" w:hAnsi="Times New Roman" w:cs="Times New Roman"/>
                <w:b/>
              </w:rPr>
            </w:pPr>
            <w:r w:rsidRPr="005011BE">
              <w:rPr>
                <w:rFonts w:ascii="Times New Roman" w:hAnsi="Times New Roman" w:cs="Times New Roman"/>
                <w:b/>
              </w:rPr>
              <w:t>FACT Faculty Fellow</w:t>
            </w:r>
          </w:p>
        </w:tc>
        <w:tc>
          <w:tcPr>
            <w:tcW w:w="3192" w:type="dxa"/>
          </w:tcPr>
          <w:p w:rsidR="007A55FE" w:rsidRPr="005011BE" w:rsidRDefault="007A55FE" w:rsidP="007A55FE">
            <w:pPr>
              <w:jc w:val="center"/>
              <w:rPr>
                <w:rFonts w:ascii="Times New Roman" w:hAnsi="Times New Roman" w:cs="Times New Roman"/>
                <w:b/>
              </w:rPr>
            </w:pPr>
            <w:r w:rsidRPr="005011BE">
              <w:rPr>
                <w:rFonts w:ascii="Times New Roman" w:hAnsi="Times New Roman" w:cs="Times New Roman"/>
                <w:b/>
              </w:rPr>
              <w:t>Department Chair</w:t>
            </w:r>
          </w:p>
        </w:tc>
      </w:tr>
      <w:tr w:rsidR="007A55FE" w:rsidRPr="005011BE" w:rsidTr="007A55FE">
        <w:tc>
          <w:tcPr>
            <w:tcW w:w="3192" w:type="dxa"/>
          </w:tcPr>
          <w:p w:rsidR="007A55FE" w:rsidRPr="005011BE" w:rsidRDefault="00192DA5" w:rsidP="007A55FE">
            <w:pPr>
              <w:jc w:val="center"/>
              <w:rPr>
                <w:rFonts w:ascii="Times New Roman" w:hAnsi="Times New Roman" w:cs="Times New Roman"/>
                <w:b/>
              </w:rPr>
            </w:pPr>
            <w:r w:rsidRPr="005011BE">
              <w:rPr>
                <w:rFonts w:ascii="Times New Roman" w:hAnsi="Times New Roman" w:cs="Times New Roman"/>
                <w:b/>
              </w:rPr>
              <w:t>Communicative Sciences and Disorders</w:t>
            </w:r>
          </w:p>
        </w:tc>
        <w:tc>
          <w:tcPr>
            <w:tcW w:w="3192" w:type="dxa"/>
          </w:tcPr>
          <w:p w:rsidR="007A55FE" w:rsidRPr="005011BE" w:rsidRDefault="00192DA5" w:rsidP="007A55FE">
            <w:pPr>
              <w:jc w:val="center"/>
              <w:rPr>
                <w:rFonts w:ascii="Times New Roman" w:hAnsi="Times New Roman" w:cs="Times New Roman"/>
                <w:b/>
              </w:rPr>
            </w:pPr>
            <w:r w:rsidRPr="005011BE">
              <w:rPr>
                <w:rFonts w:ascii="Times New Roman" w:hAnsi="Times New Roman" w:cs="Times New Roman"/>
                <w:b/>
              </w:rPr>
              <w:t xml:space="preserve">Elena </w:t>
            </w:r>
            <w:proofErr w:type="spellStart"/>
            <w:r w:rsidRPr="005011BE">
              <w:rPr>
                <w:rFonts w:ascii="Times New Roman" w:hAnsi="Times New Roman" w:cs="Times New Roman"/>
                <w:b/>
              </w:rPr>
              <w:t>Dukhovny</w:t>
            </w:r>
            <w:proofErr w:type="spellEnd"/>
          </w:p>
        </w:tc>
        <w:tc>
          <w:tcPr>
            <w:tcW w:w="3192" w:type="dxa"/>
          </w:tcPr>
          <w:p w:rsidR="007A55FE" w:rsidRPr="005011BE" w:rsidRDefault="00192DA5" w:rsidP="007A55FE">
            <w:pPr>
              <w:jc w:val="center"/>
              <w:rPr>
                <w:rFonts w:ascii="Times New Roman" w:hAnsi="Times New Roman" w:cs="Times New Roman"/>
                <w:b/>
              </w:rPr>
            </w:pPr>
            <w:r w:rsidRPr="005011BE">
              <w:rPr>
                <w:rFonts w:ascii="Times New Roman" w:hAnsi="Times New Roman" w:cs="Times New Roman"/>
                <w:b/>
              </w:rPr>
              <w:t xml:space="preserve">Nidhi </w:t>
            </w:r>
            <w:proofErr w:type="spellStart"/>
            <w:r w:rsidRPr="005011BE">
              <w:rPr>
                <w:rFonts w:ascii="Times New Roman" w:hAnsi="Times New Roman" w:cs="Times New Roman"/>
                <w:b/>
              </w:rPr>
              <w:t>Mahendra</w:t>
            </w:r>
            <w:proofErr w:type="spellEnd"/>
          </w:p>
        </w:tc>
      </w:tr>
    </w:tbl>
    <w:p w:rsidR="007A55FE" w:rsidRPr="005011BE" w:rsidRDefault="007A55FE" w:rsidP="007A55FE">
      <w:pPr>
        <w:jc w:val="center"/>
        <w:rPr>
          <w:b/>
        </w:rPr>
      </w:pPr>
    </w:p>
    <w:p w:rsidR="007A55FE" w:rsidRPr="005011BE" w:rsidRDefault="007C6E3A" w:rsidP="007C6E3A">
      <w:r w:rsidRPr="005011BE">
        <w:t>[NOTE: Items A, B, C, and D are identical to your Page 2 on your Annual Report for CAPR.  Please simply cut and paste from there. Item E is unique to the CLASS FACT Project.]</w:t>
      </w:r>
    </w:p>
    <w:p w:rsidR="007C6E3A" w:rsidRPr="005011BE" w:rsidRDefault="007C6E3A" w:rsidP="007C6E3A"/>
    <w:p w:rsidR="007A55FE" w:rsidRPr="005011BE" w:rsidRDefault="007A55FE" w:rsidP="007A55FE">
      <w:pPr>
        <w:rPr>
          <w:b/>
        </w:rPr>
      </w:pPr>
      <w:r w:rsidRPr="005011BE">
        <w:rPr>
          <w:b/>
        </w:rPr>
        <w:t>A. Program Student Learning Outcomes</w:t>
      </w:r>
    </w:p>
    <w:tbl>
      <w:tblPr>
        <w:tblStyle w:val="TableGrid"/>
        <w:tblW w:w="0" w:type="auto"/>
        <w:tblLook w:val="04A0" w:firstRow="1" w:lastRow="0" w:firstColumn="1" w:lastColumn="0" w:noHBand="0" w:noVBand="1"/>
      </w:tblPr>
      <w:tblGrid>
        <w:gridCol w:w="9576"/>
      </w:tblGrid>
      <w:tr w:rsidR="007A55FE" w:rsidRPr="005011BE" w:rsidTr="00160481">
        <w:sdt>
          <w:sdtPr>
            <w:rPr>
              <w:rFonts w:ascii="Times New Roman" w:eastAsiaTheme="minorEastAsia" w:hAnsi="Times New Roman" w:cs="Times New Roman"/>
              <w:sz w:val="24"/>
              <w:szCs w:val="24"/>
            </w:rPr>
            <w:id w:val="-183283676"/>
            <w:placeholder>
              <w:docPart w:val="BF7CDE2D3A4743ECA9D1A581731CA6FC"/>
            </w:placeholder>
            <w:text w:multiLine="1"/>
          </w:sdtPr>
          <w:sdtEndPr/>
          <w:sdtContent>
            <w:tc>
              <w:tcPr>
                <w:tcW w:w="9576" w:type="dxa"/>
              </w:tcPr>
              <w:p w:rsidR="007A55FE" w:rsidRPr="005011BE" w:rsidRDefault="00192DA5" w:rsidP="00725601">
                <w:pPr>
                  <w:pStyle w:val="ListParagraph"/>
                  <w:tabs>
                    <w:tab w:val="left" w:pos="360"/>
                  </w:tabs>
                  <w:ind w:left="0"/>
                  <w:rPr>
                    <w:rFonts w:ascii="Times New Roman" w:hAnsi="Times New Roman" w:cs="Times New Roman"/>
                    <w:sz w:val="24"/>
                    <w:szCs w:val="24"/>
                  </w:rPr>
                </w:pPr>
                <w:r w:rsidRPr="00725601">
                  <w:rPr>
                    <w:rFonts w:ascii="Times New Roman" w:eastAsiaTheme="minorEastAsia" w:hAnsi="Times New Roman" w:cs="Times New Roman"/>
                    <w:sz w:val="24"/>
                    <w:szCs w:val="24"/>
                  </w:rPr>
                  <w:t>Bachelor of Science in Speech-Language Pathology</w:t>
                </w:r>
                <w:r w:rsidRPr="00725601">
                  <w:rPr>
                    <w:rFonts w:ascii="Times New Roman" w:eastAsiaTheme="minorEastAsia" w:hAnsi="Times New Roman" w:cs="Times New Roman"/>
                    <w:sz w:val="24"/>
                    <w:szCs w:val="24"/>
                  </w:rPr>
                  <w:br/>
                  <w:t xml:space="preserve">Students graduating with a B.S. in Speech-Language Pathology from California State University East Bay will: </w:t>
                </w:r>
                <w:r w:rsidRPr="00725601">
                  <w:rPr>
                    <w:rFonts w:ascii="Times New Roman" w:eastAsiaTheme="minorEastAsia" w:hAnsi="Times New Roman" w:cs="Times New Roman"/>
                    <w:sz w:val="24"/>
                    <w:szCs w:val="24"/>
                  </w:rPr>
                  <w:br/>
                  <w:t>1)</w:t>
                </w:r>
                <w:r w:rsidRPr="00725601">
                  <w:rPr>
                    <w:rFonts w:ascii="Times New Roman" w:eastAsiaTheme="minorEastAsia" w:hAnsi="Times New Roman" w:cs="Times New Roman"/>
                    <w:sz w:val="24"/>
                    <w:szCs w:val="24"/>
                  </w:rPr>
                  <w:tab/>
                  <w:t>Master the foundational knowledge for advanced professional training in speech-language pathology or related disciplines</w:t>
                </w:r>
                <w:r w:rsidRPr="00725601">
                  <w:rPr>
                    <w:rFonts w:ascii="Times New Roman" w:eastAsiaTheme="minorEastAsia" w:hAnsi="Times New Roman" w:cs="Times New Roman"/>
                    <w:sz w:val="24"/>
                    <w:szCs w:val="24"/>
                  </w:rPr>
                  <w:br/>
                  <w:t>2)</w:t>
                </w:r>
                <w:r w:rsidRPr="00725601">
                  <w:rPr>
                    <w:rFonts w:ascii="Times New Roman" w:eastAsiaTheme="minorEastAsia" w:hAnsi="Times New Roman" w:cs="Times New Roman"/>
                    <w:sz w:val="24"/>
                    <w:szCs w:val="24"/>
                  </w:rPr>
                  <w:tab/>
                  <w:t xml:space="preserve">Integrate knowledge from basic and behavioral sciences and humanities with contemporary theory and practice in speech-language pathology </w:t>
                </w:r>
                <w:r w:rsidRPr="00725601">
                  <w:rPr>
                    <w:rFonts w:ascii="Times New Roman" w:eastAsiaTheme="minorEastAsia" w:hAnsi="Times New Roman" w:cs="Times New Roman"/>
                    <w:sz w:val="24"/>
                    <w:szCs w:val="24"/>
                  </w:rPr>
                  <w:br/>
                  <w:t>3)</w:t>
                </w:r>
                <w:r w:rsidRPr="00725601">
                  <w:rPr>
                    <w:rFonts w:ascii="Times New Roman" w:eastAsiaTheme="minorEastAsia" w:hAnsi="Times New Roman" w:cs="Times New Roman"/>
                    <w:sz w:val="24"/>
                    <w:szCs w:val="24"/>
                  </w:rPr>
                  <w:tab/>
                  <w:t>Describe typical and atypical communicative development and behavior across the lifespan</w:t>
                </w:r>
                <w:r w:rsidRPr="00725601">
                  <w:rPr>
                    <w:rFonts w:ascii="Times New Roman" w:eastAsiaTheme="minorEastAsia" w:hAnsi="Times New Roman" w:cs="Times New Roman"/>
                    <w:sz w:val="24"/>
                    <w:szCs w:val="24"/>
                  </w:rPr>
                  <w:br/>
                  <w:t>4)</w:t>
                </w:r>
                <w:r w:rsidRPr="00725601">
                  <w:rPr>
                    <w:rFonts w:ascii="Times New Roman" w:eastAsiaTheme="minorEastAsia" w:hAnsi="Times New Roman" w:cs="Times New Roman"/>
                    <w:sz w:val="24"/>
                    <w:szCs w:val="24"/>
                  </w:rPr>
                  <w:tab/>
                  <w:t>Demonstrate skills in working collaboratively</w:t>
                </w:r>
                <w:r w:rsidRPr="00725601">
                  <w:rPr>
                    <w:rFonts w:ascii="Times New Roman" w:eastAsiaTheme="minorEastAsia" w:hAnsi="Times New Roman" w:cs="Times New Roman"/>
                    <w:sz w:val="24"/>
                    <w:szCs w:val="24"/>
                  </w:rPr>
                  <w:br/>
                  <w:t>5)</w:t>
                </w:r>
                <w:r w:rsidRPr="00725601">
                  <w:rPr>
                    <w:rFonts w:ascii="Times New Roman" w:eastAsiaTheme="minorEastAsia" w:hAnsi="Times New Roman" w:cs="Times New Roman"/>
                    <w:sz w:val="24"/>
                    <w:szCs w:val="24"/>
                  </w:rPr>
                  <w:tab/>
                  <w:t xml:space="preserve">Explain the importance of cultural competence, social justice, ethics, and advocacy in serving diverse individuals    </w:t>
                </w:r>
                <w:r w:rsidRPr="00725601">
                  <w:rPr>
                    <w:rFonts w:ascii="Times New Roman" w:eastAsiaTheme="minorEastAsia" w:hAnsi="Times New Roman" w:cs="Times New Roman"/>
                    <w:sz w:val="24"/>
                    <w:szCs w:val="24"/>
                  </w:rPr>
                  <w:br/>
                </w:r>
                <w:r w:rsidRPr="00725601">
                  <w:rPr>
                    <w:rFonts w:ascii="Times New Roman" w:eastAsiaTheme="minorEastAsia" w:hAnsi="Times New Roman" w:cs="Times New Roman"/>
                    <w:sz w:val="24"/>
                    <w:szCs w:val="24"/>
                  </w:rPr>
                  <w:br/>
                  <w:t>Mapping to CSUEB Institutional Learning Outcomes:</w:t>
                </w:r>
                <w:r w:rsidRPr="00725601">
                  <w:rPr>
                    <w:rFonts w:ascii="Times New Roman" w:eastAsiaTheme="minorEastAsia" w:hAnsi="Times New Roman" w:cs="Times New Roman"/>
                    <w:sz w:val="24"/>
                    <w:szCs w:val="24"/>
                  </w:rPr>
                  <w:br/>
                  <w:t>Thinking and reasoning – SLO1</w:t>
                </w:r>
                <w:r w:rsidRPr="00725601">
                  <w:rPr>
                    <w:rFonts w:ascii="Times New Roman" w:eastAsiaTheme="minorEastAsia" w:hAnsi="Times New Roman" w:cs="Times New Roman"/>
                    <w:sz w:val="24"/>
                    <w:szCs w:val="24"/>
                  </w:rPr>
                  <w:br/>
                  <w:t>Specialized Education – SLO 2, 3, 5</w:t>
                </w:r>
                <w:r w:rsidRPr="00725601">
                  <w:rPr>
                    <w:rFonts w:ascii="Times New Roman" w:eastAsiaTheme="minorEastAsia" w:hAnsi="Times New Roman" w:cs="Times New Roman"/>
                    <w:sz w:val="24"/>
                    <w:szCs w:val="24"/>
                  </w:rPr>
                  <w:br/>
                  <w:t>Collaboration – SLO4</w:t>
                </w:r>
                <w:r w:rsidRPr="00725601">
                  <w:rPr>
                    <w:rFonts w:ascii="Times New Roman" w:eastAsiaTheme="minorEastAsia" w:hAnsi="Times New Roman" w:cs="Times New Roman"/>
                    <w:sz w:val="24"/>
                    <w:szCs w:val="24"/>
                  </w:rPr>
                  <w:br/>
                  <w:t>Diversity – SLO 3 (lifespan), SLO 5</w:t>
                </w:r>
                <w:r w:rsidRPr="00725601">
                  <w:rPr>
                    <w:rFonts w:ascii="Times New Roman" w:eastAsiaTheme="minorEastAsia" w:hAnsi="Times New Roman" w:cs="Times New Roman"/>
                    <w:sz w:val="24"/>
                    <w:szCs w:val="24"/>
                  </w:rPr>
                  <w:br/>
                </w:r>
                <w:r w:rsidRPr="00725601">
                  <w:rPr>
                    <w:rFonts w:ascii="Times New Roman" w:eastAsiaTheme="minorEastAsia" w:hAnsi="Times New Roman" w:cs="Times New Roman"/>
                    <w:sz w:val="24"/>
                    <w:szCs w:val="24"/>
                  </w:rPr>
                  <w:br/>
                  <w:t xml:space="preserve">Master of Science in Speech-Language Pathology </w:t>
                </w:r>
                <w:r w:rsidRPr="00725601">
                  <w:rPr>
                    <w:rFonts w:ascii="Times New Roman" w:eastAsiaTheme="minorEastAsia" w:hAnsi="Times New Roman" w:cs="Times New Roman"/>
                    <w:sz w:val="24"/>
                    <w:szCs w:val="24"/>
                  </w:rPr>
                  <w:br/>
                  <w:t>Students graduating with an M.S. in Speech-Language Pathology from California State University East Bay will:</w:t>
                </w:r>
                <w:r w:rsidRPr="00725601">
                  <w:rPr>
                    <w:rFonts w:ascii="Times New Roman" w:eastAsiaTheme="minorEastAsia" w:hAnsi="Times New Roman" w:cs="Times New Roman"/>
                    <w:sz w:val="24"/>
                    <w:szCs w:val="24"/>
                  </w:rPr>
                  <w:br/>
                  <w:t>1)</w:t>
                </w:r>
                <w:r w:rsidRPr="00725601">
                  <w:rPr>
                    <w:rFonts w:ascii="Times New Roman" w:eastAsiaTheme="minorEastAsia" w:hAnsi="Times New Roman" w:cs="Times New Roman"/>
                    <w:sz w:val="24"/>
                    <w:szCs w:val="24"/>
                  </w:rPr>
                  <w:tab/>
                  <w:t>Screen, assess and treat individuals with a variety of communicative disorders across the lifespan</w:t>
                </w:r>
                <w:r w:rsidRPr="00725601">
                  <w:rPr>
                    <w:rFonts w:ascii="Times New Roman" w:eastAsiaTheme="minorEastAsia" w:hAnsi="Times New Roman" w:cs="Times New Roman"/>
                    <w:sz w:val="24"/>
                    <w:szCs w:val="24"/>
                  </w:rPr>
                  <w:br/>
                  <w:t>2)</w:t>
                </w:r>
                <w:r w:rsidRPr="00725601">
                  <w:rPr>
                    <w:rFonts w:ascii="Times New Roman" w:eastAsiaTheme="minorEastAsia" w:hAnsi="Times New Roman" w:cs="Times New Roman"/>
                    <w:sz w:val="24"/>
                    <w:szCs w:val="24"/>
                  </w:rPr>
                  <w:tab/>
                  <w:t xml:space="preserve">Communicate and collaborate effectively with clients, families, and other professionals </w:t>
                </w:r>
                <w:r w:rsidRPr="00725601">
                  <w:rPr>
                    <w:rFonts w:ascii="Times New Roman" w:eastAsiaTheme="minorEastAsia" w:hAnsi="Times New Roman" w:cs="Times New Roman"/>
                    <w:sz w:val="24"/>
                    <w:szCs w:val="24"/>
                  </w:rPr>
                  <w:br/>
                  <w:t>3)</w:t>
                </w:r>
                <w:r w:rsidRPr="00725601">
                  <w:rPr>
                    <w:rFonts w:ascii="Times New Roman" w:eastAsiaTheme="minorEastAsia" w:hAnsi="Times New Roman" w:cs="Times New Roman"/>
                    <w:sz w:val="24"/>
                    <w:szCs w:val="24"/>
                  </w:rPr>
                  <w:tab/>
                  <w:t xml:space="preserve">Evaluate and apply clinical research, recognizing the need for evidence to support best </w:t>
                </w:r>
                <w:r w:rsidRPr="00725601">
                  <w:rPr>
                    <w:rFonts w:ascii="Times New Roman" w:eastAsiaTheme="minorEastAsia" w:hAnsi="Times New Roman" w:cs="Times New Roman"/>
                    <w:sz w:val="24"/>
                    <w:szCs w:val="24"/>
                  </w:rPr>
                  <w:lastRenderedPageBreak/>
                  <w:t xml:space="preserve">practices in clinical service delivery </w:t>
                </w:r>
                <w:r w:rsidRPr="00725601">
                  <w:rPr>
                    <w:rFonts w:ascii="Times New Roman" w:eastAsiaTheme="minorEastAsia" w:hAnsi="Times New Roman" w:cs="Times New Roman"/>
                    <w:sz w:val="24"/>
                    <w:szCs w:val="24"/>
                  </w:rPr>
                  <w:br/>
                  <w:t>4)</w:t>
                </w:r>
                <w:r w:rsidRPr="00725601">
                  <w:rPr>
                    <w:rFonts w:ascii="Times New Roman" w:eastAsiaTheme="minorEastAsia" w:hAnsi="Times New Roman" w:cs="Times New Roman"/>
                    <w:sz w:val="24"/>
                    <w:szCs w:val="24"/>
                  </w:rPr>
                  <w:tab/>
                  <w:t>Consistently apply ethical professional standards, recognize and respect the limits of their professional preparation and clinical skills, and work effectively with other professionals</w:t>
                </w:r>
                <w:r w:rsidRPr="00725601">
                  <w:rPr>
                    <w:rFonts w:ascii="Times New Roman" w:eastAsiaTheme="minorEastAsia" w:hAnsi="Times New Roman" w:cs="Times New Roman"/>
                    <w:sz w:val="24"/>
                    <w:szCs w:val="24"/>
                  </w:rPr>
                  <w:br/>
                  <w:t>5)</w:t>
                </w:r>
                <w:r w:rsidRPr="00725601">
                  <w:rPr>
                    <w:rFonts w:ascii="Times New Roman" w:eastAsiaTheme="minorEastAsia" w:hAnsi="Times New Roman" w:cs="Times New Roman"/>
                    <w:sz w:val="24"/>
                    <w:szCs w:val="24"/>
                  </w:rPr>
                  <w:tab/>
                  <w:t>Demonstrate cultural competence and commitment to advocacy for persons with communicative disorders</w:t>
                </w:r>
                <w:r w:rsidRPr="00725601">
                  <w:rPr>
                    <w:rFonts w:ascii="Times New Roman" w:eastAsiaTheme="minorEastAsia" w:hAnsi="Times New Roman" w:cs="Times New Roman"/>
                    <w:sz w:val="24"/>
                    <w:szCs w:val="24"/>
                  </w:rPr>
                  <w:br/>
                </w:r>
                <w:r w:rsidRPr="00725601">
                  <w:rPr>
                    <w:rFonts w:ascii="Times New Roman" w:eastAsiaTheme="minorEastAsia" w:hAnsi="Times New Roman" w:cs="Times New Roman"/>
                    <w:sz w:val="24"/>
                    <w:szCs w:val="24"/>
                  </w:rPr>
                  <w:br/>
                  <w:t>Mapping to CSUEB Institutional Learning Outcomes:</w:t>
                </w:r>
                <w:r w:rsidRPr="00725601">
                  <w:rPr>
                    <w:rFonts w:ascii="Times New Roman" w:eastAsiaTheme="minorEastAsia" w:hAnsi="Times New Roman" w:cs="Times New Roman"/>
                    <w:sz w:val="24"/>
                    <w:szCs w:val="24"/>
                  </w:rPr>
                  <w:br/>
                  <w:t>Thinking and reasoning – SLOs 1, 3, 4</w:t>
                </w:r>
                <w:r w:rsidRPr="00725601">
                  <w:rPr>
                    <w:rFonts w:ascii="Times New Roman" w:eastAsiaTheme="minorEastAsia" w:hAnsi="Times New Roman" w:cs="Times New Roman"/>
                    <w:sz w:val="24"/>
                    <w:szCs w:val="24"/>
                  </w:rPr>
                  <w:br/>
                  <w:t>Communication – SLOs 2, 5</w:t>
                </w:r>
                <w:r w:rsidRPr="00725601">
                  <w:rPr>
                    <w:rFonts w:ascii="Times New Roman" w:eastAsiaTheme="minorEastAsia" w:hAnsi="Times New Roman" w:cs="Times New Roman"/>
                    <w:sz w:val="24"/>
                    <w:szCs w:val="24"/>
                  </w:rPr>
                  <w:br/>
                  <w:t>Collaboration – SLO 2</w:t>
                </w:r>
                <w:r w:rsidRPr="00725601">
                  <w:rPr>
                    <w:rFonts w:ascii="Times New Roman" w:eastAsiaTheme="minorEastAsia" w:hAnsi="Times New Roman" w:cs="Times New Roman"/>
                    <w:sz w:val="24"/>
                    <w:szCs w:val="24"/>
                  </w:rPr>
                  <w:br/>
                  <w:t>Diversity – SLO 5</w:t>
                </w:r>
                <w:r w:rsidRPr="00725601">
                  <w:rPr>
                    <w:rFonts w:ascii="Times New Roman" w:eastAsiaTheme="minorEastAsia" w:hAnsi="Times New Roman" w:cs="Times New Roman"/>
                    <w:sz w:val="24"/>
                    <w:szCs w:val="24"/>
                  </w:rPr>
                  <w:br/>
                  <w:t>Specialized Education – SLOs 1, 2, 3, 4, 5ease list all outcomes in the box below, and append a curriculum map showing alignment of the Program Student Learning Outcomes and CSUEB Institutional Learning Outcomes.</w:t>
                </w:r>
              </w:p>
            </w:tc>
          </w:sdtContent>
        </w:sdt>
      </w:tr>
    </w:tbl>
    <w:p w:rsidR="007A55FE" w:rsidRPr="005011BE" w:rsidRDefault="007A55FE" w:rsidP="007A55FE">
      <w:pPr>
        <w:rPr>
          <w:b/>
          <w:u w:val="single"/>
        </w:rPr>
      </w:pPr>
    </w:p>
    <w:p w:rsidR="007A55FE" w:rsidRPr="005011BE" w:rsidRDefault="007A55FE" w:rsidP="007A55FE">
      <w:pPr>
        <w:rPr>
          <w:b/>
        </w:rPr>
      </w:pPr>
      <w:r w:rsidRPr="005011BE">
        <w:rPr>
          <w:b/>
        </w:rPr>
        <w:t>B. Program Student Learning Outcome(s) Assessed</w:t>
      </w:r>
    </w:p>
    <w:p w:rsidR="007A55FE" w:rsidRPr="005011BE"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5011BE" w:rsidTr="00160481">
        <w:sdt>
          <w:sdtPr>
            <w:id w:val="31195448"/>
            <w:placeholder>
              <w:docPart w:val="05AA48AB991A42FE91A8DA1D9FF79E73"/>
            </w:placeholder>
            <w:text w:multiLine="1"/>
          </w:sdtPr>
          <w:sdtEndPr/>
          <w:sdtContent>
            <w:tc>
              <w:tcPr>
                <w:tcW w:w="9576" w:type="dxa"/>
              </w:tcPr>
              <w:p w:rsidR="007A55FE" w:rsidRPr="005011BE" w:rsidRDefault="00192DA5" w:rsidP="00160481">
                <w:pPr>
                  <w:rPr>
                    <w:rFonts w:ascii="Times New Roman" w:hAnsi="Times New Roman" w:cs="Times New Roman"/>
                  </w:rPr>
                </w:pPr>
                <w:r w:rsidRPr="005011BE">
                  <w:rPr>
                    <w:rFonts w:ascii="Times New Roman" w:hAnsi="Times New Roman" w:cs="Times New Roman"/>
                  </w:rPr>
                  <w:t>The assessment conducted in CSD was most closely related to Undergraduate SLO 1 (mastering foundational knowledge).</w:t>
                </w:r>
              </w:p>
            </w:tc>
          </w:sdtContent>
        </w:sdt>
      </w:tr>
    </w:tbl>
    <w:p w:rsidR="007A55FE" w:rsidRPr="005011BE" w:rsidRDefault="007A55FE" w:rsidP="007A55FE">
      <w:pPr>
        <w:pStyle w:val="ListParagraph"/>
        <w:spacing w:line="240" w:lineRule="auto"/>
        <w:rPr>
          <w:rFonts w:ascii="Times New Roman" w:hAnsi="Times New Roman" w:cs="Times New Roman"/>
          <w:sz w:val="24"/>
          <w:szCs w:val="24"/>
        </w:rPr>
      </w:pPr>
    </w:p>
    <w:p w:rsidR="007A55FE" w:rsidRPr="005011BE" w:rsidRDefault="007A55FE" w:rsidP="007A55FE">
      <w:pPr>
        <w:rPr>
          <w:b/>
        </w:rPr>
      </w:pPr>
      <w:r w:rsidRPr="005011BE">
        <w:rPr>
          <w:b/>
        </w:rPr>
        <w:t>C. Summary of Assessment Process</w:t>
      </w:r>
    </w:p>
    <w:p w:rsidR="007A55FE" w:rsidRPr="005011BE"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5011BE" w:rsidTr="00160481">
        <w:sdt>
          <w:sdtPr>
            <w:id w:val="31195449"/>
            <w:placeholder>
              <w:docPart w:val="DAE059B2108C411C91B3B49F9B662F28"/>
            </w:placeholder>
            <w:text w:multiLine="1"/>
          </w:sdtPr>
          <w:sdtEndPr/>
          <w:sdtContent>
            <w:tc>
              <w:tcPr>
                <w:tcW w:w="9576" w:type="dxa"/>
              </w:tcPr>
              <w:p w:rsidR="007A55FE" w:rsidRPr="005011BE" w:rsidRDefault="00192DA5" w:rsidP="00160481">
                <w:pPr>
                  <w:rPr>
                    <w:rFonts w:ascii="Times New Roman" w:hAnsi="Times New Roman" w:cs="Times New Roman"/>
                  </w:rPr>
                </w:pPr>
                <w:r w:rsidRPr="005011BE">
                  <w:rPr>
                    <w:rFonts w:ascii="Times New Roman" w:hAnsi="Times New Roman" w:cs="Times New Roman"/>
                  </w:rPr>
                  <w:t xml:space="preserve">We assessed student utilization of various advising tools available in the department, with the goal of identifying current patterns and the optimal way to lead students through appropriate class sequences in the CSD major. To this end, we created a student survey to assess efficiency and accuracy of advising, and student perceptions about facilitators and barriers to advising. The survey was created on </w:t>
                </w:r>
                <w:proofErr w:type="spellStart"/>
                <w:r w:rsidRPr="005011BE">
                  <w:rPr>
                    <w:rFonts w:ascii="Times New Roman" w:hAnsi="Times New Roman" w:cs="Times New Roman"/>
                  </w:rPr>
                  <w:t>SurveyMonkey</w:t>
                </w:r>
                <w:proofErr w:type="spellEnd"/>
                <w:r w:rsidRPr="005011BE">
                  <w:rPr>
                    <w:rFonts w:ascii="Times New Roman" w:hAnsi="Times New Roman" w:cs="Times New Roman"/>
                  </w:rPr>
                  <w:t xml:space="preserve"> and a link was sent to all current undergraduate students in the major, as well as all current graduate students. About 68 students (39 % of combined undergraduate and graduate enrollment) responded to the survey.</w:t>
                </w:r>
              </w:p>
            </w:tc>
          </w:sdtContent>
        </w:sdt>
      </w:tr>
    </w:tbl>
    <w:p w:rsidR="007A55FE" w:rsidRPr="005011BE" w:rsidRDefault="007A55FE" w:rsidP="007A55FE">
      <w:pPr>
        <w:pStyle w:val="ListParagraph"/>
        <w:spacing w:after="0" w:line="240" w:lineRule="auto"/>
        <w:rPr>
          <w:rFonts w:ascii="Times New Roman" w:hAnsi="Times New Roman" w:cs="Times New Roman"/>
          <w:sz w:val="24"/>
          <w:szCs w:val="24"/>
        </w:rPr>
      </w:pPr>
    </w:p>
    <w:p w:rsidR="007A55FE" w:rsidRPr="005011BE" w:rsidRDefault="007A55FE" w:rsidP="007A55FE">
      <w:r w:rsidRPr="005011BE">
        <w:rPr>
          <w:b/>
        </w:rPr>
        <w:t xml:space="preserve">D. Summary of Assessment Results </w:t>
      </w:r>
    </w:p>
    <w:p w:rsidR="007A55FE" w:rsidRPr="005011BE"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5011BE" w:rsidTr="00160481">
        <w:sdt>
          <w:sdtPr>
            <w:id w:val="536932939"/>
            <w:placeholder>
              <w:docPart w:val="0ACF24298F3E416CAE4B0564F7C77AFE"/>
            </w:placeholder>
            <w:text w:multiLine="1"/>
          </w:sdtPr>
          <w:sdtEndPr/>
          <w:sdtContent>
            <w:tc>
              <w:tcPr>
                <w:tcW w:w="9576" w:type="dxa"/>
              </w:tcPr>
              <w:p w:rsidR="007A55FE" w:rsidRPr="005011BE" w:rsidRDefault="00192DA5" w:rsidP="00160481">
                <w:pPr>
                  <w:rPr>
                    <w:rFonts w:ascii="Times New Roman" w:hAnsi="Times New Roman" w:cs="Times New Roman"/>
                  </w:rPr>
                </w:pPr>
                <w:r w:rsidRPr="005011BE">
                  <w:rPr>
                    <w:rFonts w:ascii="Times New Roman" w:hAnsi="Times New Roman" w:cs="Times New Roman"/>
                  </w:rPr>
                  <w:t xml:space="preserve">According to the results of the survey, 90% of respondents use the department website at least once a quarter for advising information, about 50% use the Clinic Handbook, about 45% use the CSUEB catalog and about 45% get information from a faculty advisor at least once a quarter. </w:t>
                </w:r>
                <w:r w:rsidRPr="005011BE">
                  <w:rPr>
                    <w:rFonts w:ascii="Times New Roman" w:hAnsi="Times New Roman" w:cs="Times New Roman"/>
                  </w:rPr>
                  <w:lastRenderedPageBreak/>
                  <w:t xml:space="preserve">Approximately 60% of respondents reported wanting access to better, more accurate and </w:t>
                </w:r>
                <w:proofErr w:type="gramStart"/>
                <w:r w:rsidRPr="005011BE">
                  <w:rPr>
                    <w:rFonts w:ascii="Times New Roman" w:hAnsi="Times New Roman" w:cs="Times New Roman"/>
                  </w:rPr>
                  <w:t>more timely</w:t>
                </w:r>
                <w:proofErr w:type="gramEnd"/>
                <w:r w:rsidRPr="005011BE">
                  <w:rPr>
                    <w:rFonts w:ascii="Times New Roman" w:hAnsi="Times New Roman" w:cs="Times New Roman"/>
                  </w:rPr>
                  <w:t xml:space="preserve"> advising, with primary complaints being lack of 2-year roadmaps of required classes, inconsistency in advising across advisors, and limited availability of faculty advisors. To respond to some of these concerns, CSD will be releasing 2-year roadmaps for all student cohorts no later than June 21st, 2013. We are also modifying the timing and format of initial advising sessions and designating specific group and individual advising roles. These changes will be implemented effective Fall quarter 2013. Subsequently, we will use the same survey to re-assess student access to academic advising by the end of AY 2013-2014.</w:t>
                </w:r>
              </w:p>
            </w:tc>
          </w:sdtContent>
        </w:sdt>
      </w:tr>
    </w:tbl>
    <w:p w:rsidR="007A55FE" w:rsidRPr="005011BE" w:rsidRDefault="007A55FE" w:rsidP="007A55FE"/>
    <w:p w:rsidR="0042574D" w:rsidRPr="005011BE" w:rsidRDefault="0042574D" w:rsidP="0042574D">
      <w:r w:rsidRPr="005011BE">
        <w:rPr>
          <w:b/>
        </w:rPr>
        <w:t xml:space="preserve">E. Suggestions and Recommendations for the CLASS FACT Project in the Future </w:t>
      </w:r>
    </w:p>
    <w:p w:rsidR="0042574D" w:rsidRPr="005011BE"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5011BE" w:rsidTr="00160481">
        <w:sdt>
          <w:sdtPr>
            <w:id w:val="-1743481736"/>
            <w:placeholder>
              <w:docPart w:val="EEE27DD504914C1FB57312F1D08E5C22"/>
            </w:placeholder>
            <w:text w:multiLine="1"/>
          </w:sdtPr>
          <w:sdtEndPr/>
          <w:sdtContent>
            <w:tc>
              <w:tcPr>
                <w:tcW w:w="9576" w:type="dxa"/>
              </w:tcPr>
              <w:p w:rsidR="0042574D" w:rsidRPr="005011BE" w:rsidRDefault="00192DA5" w:rsidP="00192DA5">
                <w:pPr>
                  <w:rPr>
                    <w:rFonts w:ascii="Times New Roman" w:hAnsi="Times New Roman" w:cs="Times New Roman"/>
                  </w:rPr>
                </w:pPr>
                <w:r w:rsidRPr="005011BE">
                  <w:rPr>
                    <w:rFonts w:ascii="Times New Roman" w:hAnsi="Times New Roman" w:cs="Times New Roman"/>
                  </w:rPr>
                  <w:t xml:space="preserve">It would be helpful for new faculty involved in the process to get a brief overview of the roles and responsibilities of the various credentialing </w:t>
                </w:r>
                <w:r w:rsidR="00841184" w:rsidRPr="005011BE">
                  <w:rPr>
                    <w:rFonts w:ascii="Times New Roman" w:hAnsi="Times New Roman" w:cs="Times New Roman"/>
                  </w:rPr>
                  <w:t xml:space="preserve">/ assessment organizations to whom the FACT project answers, and whether they are at the level of the Cal State system, CSUEB-specific, or college-specific. </w:t>
                </w:r>
              </w:p>
            </w:tc>
          </w:sdtContent>
        </w:sdt>
      </w:tr>
    </w:tbl>
    <w:p w:rsidR="0042574D" w:rsidRPr="005011BE" w:rsidRDefault="0042574D" w:rsidP="0042574D"/>
    <w:p w:rsidR="007A55FE" w:rsidRPr="005011BE" w:rsidRDefault="0042574D" w:rsidP="007A55FE">
      <w:r w:rsidRPr="005011BE">
        <w:t>Thank you for your hard work for the past year, and have a Great Summer!</w:t>
      </w:r>
    </w:p>
    <w:p w:rsidR="00CA3632" w:rsidRPr="005011BE" w:rsidRDefault="00CA3632" w:rsidP="00030FE2">
      <w:pPr>
        <w:ind w:left="540" w:right="180"/>
      </w:pPr>
    </w:p>
    <w:sectPr w:rsidR="00CA3632" w:rsidRPr="005011BE"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9B" w:rsidRDefault="00423F9B" w:rsidP="00D40636">
      <w:r>
        <w:separator/>
      </w:r>
    </w:p>
  </w:endnote>
  <w:endnote w:type="continuationSeparator" w:id="0">
    <w:p w:rsidR="00423F9B" w:rsidRDefault="00423F9B"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9B" w:rsidRDefault="00423F9B" w:rsidP="00D40636">
      <w:r>
        <w:separator/>
      </w:r>
    </w:p>
  </w:footnote>
  <w:footnote w:type="continuationSeparator" w:id="0">
    <w:p w:rsidR="00423F9B" w:rsidRDefault="00423F9B"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FF" w:rsidRPr="00631DA8" w:rsidRDefault="00EC41A0"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anchor>
      </w:drawing>
    </w:r>
    <w:smartTag w:uri="urn:schemas-microsoft-com:office:smarttags" w:element="place">
      <w:smartTag w:uri="urn:schemas-microsoft-com:office:smarttags" w:element="PlaceType">
        <w:r w:rsidR="00B62583" w:rsidRPr="00631DA8">
          <w:rPr>
            <w:spacing w:val="2"/>
          </w:rPr>
          <w:t>College</w:t>
        </w:r>
      </w:smartTag>
      <w:r w:rsidR="00B62583" w:rsidRPr="00631DA8">
        <w:rPr>
          <w:spacing w:val="2"/>
        </w:rPr>
        <w:t xml:space="preserve"> of </w:t>
      </w:r>
      <w:smartTag w:uri="urn:schemas-microsoft-com:office:smarttags" w:element="PlaceName">
        <w:r w:rsidR="00B62583" w:rsidRPr="00631DA8">
          <w:rPr>
            <w:spacing w:val="2"/>
          </w:rPr>
          <w:t>Letters</w:t>
        </w:r>
      </w:smartTag>
    </w:smartTag>
    <w:r w:rsidR="00B62583" w:rsidRPr="00631DA8">
      <w:rPr>
        <w:spacing w:val="2"/>
      </w:rPr>
      <w:t>, Arts, and Social Sciences (CLASS)</w:t>
    </w:r>
  </w:p>
  <w:p w:rsidR="00631DA8" w:rsidRPr="00631DA8" w:rsidRDefault="00631DA8" w:rsidP="00631DA8">
    <w:pPr>
      <w:ind w:left="3960"/>
      <w:rPr>
        <w:spacing w:val="15"/>
        <w:kern w:val="16"/>
        <w:sz w:val="16"/>
      </w:rPr>
    </w:pPr>
    <w:r w:rsidRPr="00631DA8">
      <w:rPr>
        <w:spacing w:val="15"/>
        <w:kern w:val="16"/>
        <w:sz w:val="16"/>
      </w:rPr>
      <w:t xml:space="preserve">Music and </w:t>
    </w:r>
    <w:smartTag w:uri="urn:schemas-microsoft-com:office:smarttags" w:element="place">
      <w:smartTag w:uri="urn:schemas-microsoft-com:office:smarttags" w:element="PlaceName">
        <w:r w:rsidRPr="00631DA8">
          <w:rPr>
            <w:spacing w:val="15"/>
            <w:kern w:val="16"/>
            <w:sz w:val="16"/>
          </w:rPr>
          <w:t>Business</w:t>
        </w:r>
      </w:smartTag>
      <w:r w:rsidRPr="00631DA8">
        <w:rPr>
          <w:spacing w:val="15"/>
          <w:kern w:val="16"/>
          <w:sz w:val="16"/>
        </w:rPr>
        <w:t xml:space="preserve"> </w:t>
      </w:r>
      <w:smartTag w:uri="urn:schemas-microsoft-com:office:smarttags" w:element="PlaceType">
        <w:r w:rsidRPr="00631DA8">
          <w:rPr>
            <w:spacing w:val="15"/>
            <w:kern w:val="16"/>
            <w:sz w:val="16"/>
          </w:rPr>
          <w:t>Building</w:t>
        </w:r>
      </w:smartTag>
    </w:smartTag>
    <w:r w:rsidRPr="00631DA8">
      <w:rPr>
        <w:spacing w:val="15"/>
        <w:kern w:val="16"/>
        <w:sz w:val="16"/>
      </w:rPr>
      <w:t>, 1501</w:t>
    </w:r>
  </w:p>
  <w:p w:rsidR="00631DA8" w:rsidRPr="00631DA8" w:rsidRDefault="00631DA8" w:rsidP="00631DA8">
    <w:pPr>
      <w:ind w:left="3960"/>
      <w:rPr>
        <w:spacing w:val="10"/>
        <w:kern w:val="16"/>
        <w:sz w:val="16"/>
      </w:rPr>
    </w:pPr>
    <w:smartTag w:uri="urn:schemas-microsoft-com:office:smarttags" w:element="address">
      <w:smartTag w:uri="urn:schemas-microsoft-com:office:smarttags" w:element="Street">
        <w:r w:rsidRPr="00631DA8">
          <w:rPr>
            <w:spacing w:val="15"/>
            <w:kern w:val="16"/>
            <w:sz w:val="16"/>
          </w:rPr>
          <w:t>25800 Carlos Bee Boulevard</w:t>
        </w:r>
      </w:smartTag>
      <w:r w:rsidRPr="00631DA8">
        <w:rPr>
          <w:spacing w:val="15"/>
          <w:kern w:val="16"/>
          <w:sz w:val="16"/>
        </w:rPr>
        <w:t xml:space="preserve">,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w:t>
      </w:r>
      <w:smartTag w:uri="urn:schemas-microsoft-com:office:smarttags" w:element="PostalCode">
        <w:r w:rsidRPr="00631DA8">
          <w:rPr>
            <w:spacing w:val="10"/>
            <w:kern w:val="16"/>
            <w:sz w:val="16"/>
          </w:rPr>
          <w:t>94542-3014</w:t>
        </w:r>
      </w:smartTag>
    </w:smartTag>
  </w:p>
  <w:p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2152B"/>
    <w:rsid w:val="00030FE2"/>
    <w:rsid w:val="00045BEA"/>
    <w:rsid w:val="000C2252"/>
    <w:rsid w:val="000E3C41"/>
    <w:rsid w:val="000E5FDD"/>
    <w:rsid w:val="000E7C20"/>
    <w:rsid w:val="00153739"/>
    <w:rsid w:val="0018016C"/>
    <w:rsid w:val="00192DA5"/>
    <w:rsid w:val="001C6EC3"/>
    <w:rsid w:val="0020471A"/>
    <w:rsid w:val="002263B8"/>
    <w:rsid w:val="00230B15"/>
    <w:rsid w:val="002816C6"/>
    <w:rsid w:val="002B5DF5"/>
    <w:rsid w:val="002C06E7"/>
    <w:rsid w:val="002D5F20"/>
    <w:rsid w:val="0030126F"/>
    <w:rsid w:val="00356E92"/>
    <w:rsid w:val="003A09C7"/>
    <w:rsid w:val="003E4267"/>
    <w:rsid w:val="00423F9B"/>
    <w:rsid w:val="0042574D"/>
    <w:rsid w:val="004924EB"/>
    <w:rsid w:val="004A3000"/>
    <w:rsid w:val="004A45CF"/>
    <w:rsid w:val="004B42E5"/>
    <w:rsid w:val="0050037B"/>
    <w:rsid w:val="005011BE"/>
    <w:rsid w:val="005039B0"/>
    <w:rsid w:val="005A3A3A"/>
    <w:rsid w:val="005C33BA"/>
    <w:rsid w:val="00600A9F"/>
    <w:rsid w:val="00631DA8"/>
    <w:rsid w:val="00663851"/>
    <w:rsid w:val="00686478"/>
    <w:rsid w:val="006A56EE"/>
    <w:rsid w:val="006D384F"/>
    <w:rsid w:val="00725601"/>
    <w:rsid w:val="0077525D"/>
    <w:rsid w:val="007958DA"/>
    <w:rsid w:val="007975D9"/>
    <w:rsid w:val="007A55FE"/>
    <w:rsid w:val="007C5C77"/>
    <w:rsid w:val="007C6E3A"/>
    <w:rsid w:val="00841184"/>
    <w:rsid w:val="00843763"/>
    <w:rsid w:val="008878C6"/>
    <w:rsid w:val="00895F2D"/>
    <w:rsid w:val="008B3FB1"/>
    <w:rsid w:val="008C468B"/>
    <w:rsid w:val="008D5BFF"/>
    <w:rsid w:val="00931E34"/>
    <w:rsid w:val="009A24CE"/>
    <w:rsid w:val="009B2CFC"/>
    <w:rsid w:val="00A107C5"/>
    <w:rsid w:val="00A228F6"/>
    <w:rsid w:val="00A76A4E"/>
    <w:rsid w:val="00A803DC"/>
    <w:rsid w:val="00A85546"/>
    <w:rsid w:val="00AF0DB3"/>
    <w:rsid w:val="00B36FBE"/>
    <w:rsid w:val="00B62583"/>
    <w:rsid w:val="00C514B5"/>
    <w:rsid w:val="00C55172"/>
    <w:rsid w:val="00C90242"/>
    <w:rsid w:val="00CA3632"/>
    <w:rsid w:val="00CB53A4"/>
    <w:rsid w:val="00CD0BEC"/>
    <w:rsid w:val="00D067CE"/>
    <w:rsid w:val="00D21883"/>
    <w:rsid w:val="00D21FB0"/>
    <w:rsid w:val="00D34412"/>
    <w:rsid w:val="00D40636"/>
    <w:rsid w:val="00D45F08"/>
    <w:rsid w:val="00D5136C"/>
    <w:rsid w:val="00D56A81"/>
    <w:rsid w:val="00D91214"/>
    <w:rsid w:val="00DB5143"/>
    <w:rsid w:val="00DE0D3D"/>
    <w:rsid w:val="00DF21B4"/>
    <w:rsid w:val="00E07212"/>
    <w:rsid w:val="00E43500"/>
    <w:rsid w:val="00E6733C"/>
    <w:rsid w:val="00E81EE8"/>
    <w:rsid w:val="00EA3D0B"/>
    <w:rsid w:val="00EC41A0"/>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5820A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DA2D3B" w:rsidRDefault="00DA2D3B"/>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DA2D3B"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DA2D3B"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DA2D3B"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DA2D3B"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E1A83"/>
    <w:rsid w:val="005F6BE1"/>
    <w:rsid w:val="008E2B9B"/>
    <w:rsid w:val="009E1A83"/>
    <w:rsid w:val="00DA2D3B"/>
    <w:rsid w:val="00FA64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C039-A5EC-4D69-B887-93854140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2</cp:revision>
  <cp:lastPrinted>2011-04-19T21:35:00Z</cp:lastPrinted>
  <dcterms:created xsi:type="dcterms:W3CDTF">2013-08-20T20:40:00Z</dcterms:created>
  <dcterms:modified xsi:type="dcterms:W3CDTF">2013-08-20T20:40:00Z</dcterms:modified>
</cp:coreProperties>
</file>