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5011BE" w:rsidRDefault="007A55FE" w:rsidP="007A55FE">
      <w:pPr>
        <w:jc w:val="center"/>
        <w:rPr>
          <w:b/>
          <w:u w:val="single"/>
        </w:rPr>
      </w:pPr>
      <w:r w:rsidRPr="005011BE">
        <w:rPr>
          <w:b/>
          <w:u w:val="single"/>
        </w:rPr>
        <w:t>2</w:t>
      </w:r>
      <w:r w:rsidR="00054BB6">
        <w:rPr>
          <w:b/>
          <w:u w:val="single"/>
        </w:rPr>
        <w:t>013-2014</w:t>
      </w:r>
      <w:r w:rsidRPr="005011BE">
        <w:rPr>
          <w:b/>
          <w:u w:val="single"/>
        </w:rPr>
        <w:t xml:space="preserve"> CLASS FACT Assess</w:t>
      </w:r>
      <w:r w:rsidR="00054BB6">
        <w:rPr>
          <w:b/>
          <w:u w:val="single"/>
        </w:rPr>
        <w:t>ment Year End Report, June, 2014</w:t>
      </w:r>
    </w:p>
    <w:p w:rsidR="007A55FE" w:rsidRPr="005011B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RPr="005011BE" w:rsidTr="007A55FE">
        <w:tc>
          <w:tcPr>
            <w:tcW w:w="3192" w:type="dxa"/>
          </w:tcPr>
          <w:p w:rsidR="007A55FE" w:rsidRPr="005011BE" w:rsidRDefault="007A55FE" w:rsidP="007A55FE">
            <w:pPr>
              <w:jc w:val="center"/>
              <w:rPr>
                <w:rFonts w:ascii="Times New Roman" w:hAnsi="Times New Roman" w:cs="Times New Roman"/>
                <w:b/>
              </w:rPr>
            </w:pPr>
            <w:r w:rsidRPr="005011BE">
              <w:rPr>
                <w:rFonts w:ascii="Times New Roman" w:hAnsi="Times New Roman" w:cs="Times New Roman"/>
                <w:b/>
              </w:rPr>
              <w:t>Program Name(s)</w:t>
            </w:r>
          </w:p>
        </w:tc>
        <w:tc>
          <w:tcPr>
            <w:tcW w:w="3192" w:type="dxa"/>
          </w:tcPr>
          <w:p w:rsidR="007A55FE" w:rsidRPr="005011BE" w:rsidRDefault="007A55FE" w:rsidP="007A55FE">
            <w:pPr>
              <w:jc w:val="center"/>
              <w:rPr>
                <w:rFonts w:ascii="Times New Roman" w:hAnsi="Times New Roman" w:cs="Times New Roman"/>
                <w:b/>
              </w:rPr>
            </w:pPr>
            <w:r w:rsidRPr="005011BE">
              <w:rPr>
                <w:rFonts w:ascii="Times New Roman" w:hAnsi="Times New Roman" w:cs="Times New Roman"/>
                <w:b/>
              </w:rPr>
              <w:t>FACT Faculty Fellow</w:t>
            </w:r>
          </w:p>
        </w:tc>
        <w:tc>
          <w:tcPr>
            <w:tcW w:w="3192" w:type="dxa"/>
          </w:tcPr>
          <w:p w:rsidR="007A55FE" w:rsidRPr="005011BE" w:rsidRDefault="007A55FE" w:rsidP="007A55FE">
            <w:pPr>
              <w:jc w:val="center"/>
              <w:rPr>
                <w:rFonts w:ascii="Times New Roman" w:hAnsi="Times New Roman" w:cs="Times New Roman"/>
                <w:b/>
              </w:rPr>
            </w:pPr>
            <w:r w:rsidRPr="005011BE">
              <w:rPr>
                <w:rFonts w:ascii="Times New Roman" w:hAnsi="Times New Roman" w:cs="Times New Roman"/>
                <w:b/>
              </w:rPr>
              <w:t>Department Chair</w:t>
            </w:r>
          </w:p>
        </w:tc>
      </w:tr>
      <w:tr w:rsidR="007A55FE" w:rsidRPr="005011BE" w:rsidTr="007A55FE">
        <w:tc>
          <w:tcPr>
            <w:tcW w:w="3192" w:type="dxa"/>
          </w:tcPr>
          <w:p w:rsidR="007A55FE" w:rsidRPr="005011BE" w:rsidRDefault="00192DA5" w:rsidP="007A55FE">
            <w:pPr>
              <w:jc w:val="center"/>
              <w:rPr>
                <w:rFonts w:ascii="Times New Roman" w:hAnsi="Times New Roman" w:cs="Times New Roman"/>
                <w:b/>
              </w:rPr>
            </w:pPr>
            <w:r w:rsidRPr="005011BE">
              <w:rPr>
                <w:rFonts w:ascii="Times New Roman" w:hAnsi="Times New Roman" w:cs="Times New Roman"/>
                <w:b/>
              </w:rPr>
              <w:t>Communicative Sciences and Disorders</w:t>
            </w:r>
          </w:p>
        </w:tc>
        <w:tc>
          <w:tcPr>
            <w:tcW w:w="3192" w:type="dxa"/>
          </w:tcPr>
          <w:p w:rsidR="007A55FE" w:rsidRPr="005011BE" w:rsidRDefault="00192DA5" w:rsidP="007A55FE">
            <w:pPr>
              <w:jc w:val="center"/>
              <w:rPr>
                <w:rFonts w:ascii="Times New Roman" w:hAnsi="Times New Roman" w:cs="Times New Roman"/>
                <w:b/>
              </w:rPr>
            </w:pPr>
            <w:r w:rsidRPr="005011BE">
              <w:rPr>
                <w:rFonts w:ascii="Times New Roman" w:hAnsi="Times New Roman" w:cs="Times New Roman"/>
                <w:b/>
              </w:rPr>
              <w:t xml:space="preserve">Elena </w:t>
            </w:r>
            <w:proofErr w:type="spellStart"/>
            <w:r w:rsidRPr="005011BE">
              <w:rPr>
                <w:rFonts w:ascii="Times New Roman" w:hAnsi="Times New Roman" w:cs="Times New Roman"/>
                <w:b/>
              </w:rPr>
              <w:t>Dukhovny</w:t>
            </w:r>
            <w:proofErr w:type="spellEnd"/>
          </w:p>
        </w:tc>
        <w:tc>
          <w:tcPr>
            <w:tcW w:w="3192" w:type="dxa"/>
          </w:tcPr>
          <w:p w:rsidR="007A55FE" w:rsidRPr="005011BE" w:rsidRDefault="00192DA5" w:rsidP="007A55FE">
            <w:pPr>
              <w:jc w:val="center"/>
              <w:rPr>
                <w:rFonts w:ascii="Times New Roman" w:hAnsi="Times New Roman" w:cs="Times New Roman"/>
                <w:b/>
              </w:rPr>
            </w:pPr>
            <w:r w:rsidRPr="005011BE">
              <w:rPr>
                <w:rFonts w:ascii="Times New Roman" w:hAnsi="Times New Roman" w:cs="Times New Roman"/>
                <w:b/>
              </w:rPr>
              <w:t xml:space="preserve">Nidhi </w:t>
            </w:r>
            <w:proofErr w:type="spellStart"/>
            <w:r w:rsidRPr="005011BE">
              <w:rPr>
                <w:rFonts w:ascii="Times New Roman" w:hAnsi="Times New Roman" w:cs="Times New Roman"/>
                <w:b/>
              </w:rPr>
              <w:t>Mahendra</w:t>
            </w:r>
            <w:proofErr w:type="spellEnd"/>
          </w:p>
        </w:tc>
      </w:tr>
    </w:tbl>
    <w:p w:rsidR="007A55FE" w:rsidRPr="005011BE" w:rsidRDefault="007A55FE" w:rsidP="007A55FE">
      <w:pPr>
        <w:jc w:val="center"/>
        <w:rPr>
          <w:b/>
        </w:rPr>
      </w:pPr>
    </w:p>
    <w:p w:rsidR="007A55FE" w:rsidRPr="005011BE" w:rsidRDefault="007C6E3A" w:rsidP="007C6E3A">
      <w:r w:rsidRPr="005011BE">
        <w:t>[NOTE: Items A, B, C, and D are identical to your Page 2 on your Annual Report for CAPR.  Please simply cut and paste from there. Item E is unique to the CLASS FACT Project.]</w:t>
      </w:r>
    </w:p>
    <w:p w:rsidR="007C6E3A" w:rsidRPr="005011BE" w:rsidRDefault="007C6E3A" w:rsidP="007C6E3A"/>
    <w:p w:rsidR="007A55FE" w:rsidRPr="005011BE" w:rsidRDefault="007A55FE" w:rsidP="007A55FE">
      <w:pPr>
        <w:rPr>
          <w:b/>
        </w:rPr>
      </w:pPr>
      <w:r w:rsidRPr="005011BE">
        <w:rPr>
          <w:b/>
        </w:rPr>
        <w:t>A. Program Student Learning Outcomes</w:t>
      </w:r>
    </w:p>
    <w:tbl>
      <w:tblPr>
        <w:tblStyle w:val="TableGrid"/>
        <w:tblW w:w="0" w:type="auto"/>
        <w:tblLook w:val="04A0" w:firstRow="1" w:lastRow="0" w:firstColumn="1" w:lastColumn="0" w:noHBand="0" w:noVBand="1"/>
      </w:tblPr>
      <w:tblGrid>
        <w:gridCol w:w="9576"/>
      </w:tblGrid>
      <w:tr w:rsidR="007A55FE" w:rsidRPr="005011BE" w:rsidTr="00160481">
        <w:sdt>
          <w:sdtPr>
            <w:rPr>
              <w:rFonts w:ascii="Times New Roman" w:eastAsiaTheme="minorEastAsia" w:hAnsi="Times New Roman" w:cs="Times New Roman"/>
              <w:sz w:val="24"/>
              <w:szCs w:val="24"/>
            </w:rPr>
            <w:id w:val="-183283676"/>
            <w:placeholder>
              <w:docPart w:val="BF7CDE2D3A4743ECA9D1A581731CA6FC"/>
            </w:placeholder>
            <w:text w:multiLine="1"/>
          </w:sdtPr>
          <w:sdtEndPr/>
          <w:sdtContent>
            <w:tc>
              <w:tcPr>
                <w:tcW w:w="9576" w:type="dxa"/>
              </w:tcPr>
              <w:p w:rsidR="007A55FE" w:rsidRPr="005011BE" w:rsidRDefault="00192DA5" w:rsidP="00725601">
                <w:pPr>
                  <w:pStyle w:val="ListParagraph"/>
                  <w:tabs>
                    <w:tab w:val="left" w:pos="360"/>
                  </w:tabs>
                  <w:ind w:left="0"/>
                  <w:rPr>
                    <w:rFonts w:ascii="Times New Roman" w:hAnsi="Times New Roman" w:cs="Times New Roman"/>
                    <w:sz w:val="24"/>
                    <w:szCs w:val="24"/>
                  </w:rPr>
                </w:pPr>
                <w:r w:rsidRPr="00725601">
                  <w:rPr>
                    <w:rFonts w:ascii="Times New Roman" w:eastAsiaTheme="minorEastAsia" w:hAnsi="Times New Roman" w:cs="Times New Roman"/>
                    <w:sz w:val="24"/>
                    <w:szCs w:val="24"/>
                  </w:rPr>
                  <w:t>Bachelor of Science in Speech-Language Pathology</w:t>
                </w:r>
                <w:r w:rsidRPr="00725601">
                  <w:rPr>
                    <w:rFonts w:ascii="Times New Roman" w:eastAsiaTheme="minorEastAsia" w:hAnsi="Times New Roman" w:cs="Times New Roman"/>
                    <w:sz w:val="24"/>
                    <w:szCs w:val="24"/>
                  </w:rPr>
                  <w:br/>
                  <w:t xml:space="preserve">Students graduating with a B.S. in Speech-Language Pathology from California State University East Bay will: </w:t>
                </w:r>
                <w:r w:rsidRPr="00725601">
                  <w:rPr>
                    <w:rFonts w:ascii="Times New Roman" w:eastAsiaTheme="minorEastAsia" w:hAnsi="Times New Roman" w:cs="Times New Roman"/>
                    <w:sz w:val="24"/>
                    <w:szCs w:val="24"/>
                  </w:rPr>
                  <w:br/>
                  <w:t>1)</w:t>
                </w:r>
                <w:r w:rsidRPr="00725601">
                  <w:rPr>
                    <w:rFonts w:ascii="Times New Roman" w:eastAsiaTheme="minorEastAsia" w:hAnsi="Times New Roman" w:cs="Times New Roman"/>
                    <w:sz w:val="24"/>
                    <w:szCs w:val="24"/>
                  </w:rPr>
                  <w:tab/>
                  <w:t>Master the foundational knowledge for advanced professional training in speech-language pathology or related disciplines</w:t>
                </w:r>
                <w:r w:rsidRPr="00725601">
                  <w:rPr>
                    <w:rFonts w:ascii="Times New Roman" w:eastAsiaTheme="minorEastAsia" w:hAnsi="Times New Roman" w:cs="Times New Roman"/>
                    <w:sz w:val="24"/>
                    <w:szCs w:val="24"/>
                  </w:rPr>
                  <w:br/>
                  <w:t>2)</w:t>
                </w:r>
                <w:r w:rsidRPr="00725601">
                  <w:rPr>
                    <w:rFonts w:ascii="Times New Roman" w:eastAsiaTheme="minorEastAsia" w:hAnsi="Times New Roman" w:cs="Times New Roman"/>
                    <w:sz w:val="24"/>
                    <w:szCs w:val="24"/>
                  </w:rPr>
                  <w:tab/>
                  <w:t xml:space="preserve">Integrate knowledge from basic and behavioral sciences and humanities with contemporary theory and practice in speech-language pathology </w:t>
                </w:r>
                <w:r w:rsidRPr="00725601">
                  <w:rPr>
                    <w:rFonts w:ascii="Times New Roman" w:eastAsiaTheme="minorEastAsia" w:hAnsi="Times New Roman" w:cs="Times New Roman"/>
                    <w:sz w:val="24"/>
                    <w:szCs w:val="24"/>
                  </w:rPr>
                  <w:br/>
                  <w:t>3)</w:t>
                </w:r>
                <w:r w:rsidRPr="00725601">
                  <w:rPr>
                    <w:rFonts w:ascii="Times New Roman" w:eastAsiaTheme="minorEastAsia" w:hAnsi="Times New Roman" w:cs="Times New Roman"/>
                    <w:sz w:val="24"/>
                    <w:szCs w:val="24"/>
                  </w:rPr>
                  <w:tab/>
                  <w:t>Describe typical and atypical communicative development and behavior across the lifespan</w:t>
                </w:r>
                <w:r w:rsidRPr="00725601">
                  <w:rPr>
                    <w:rFonts w:ascii="Times New Roman" w:eastAsiaTheme="minorEastAsia" w:hAnsi="Times New Roman" w:cs="Times New Roman"/>
                    <w:sz w:val="24"/>
                    <w:szCs w:val="24"/>
                  </w:rPr>
                  <w:br/>
                  <w:t>4)</w:t>
                </w:r>
                <w:r w:rsidRPr="00725601">
                  <w:rPr>
                    <w:rFonts w:ascii="Times New Roman" w:eastAsiaTheme="minorEastAsia" w:hAnsi="Times New Roman" w:cs="Times New Roman"/>
                    <w:sz w:val="24"/>
                    <w:szCs w:val="24"/>
                  </w:rPr>
                  <w:tab/>
                  <w:t>Demonstrate skills in working collaboratively</w:t>
                </w:r>
                <w:r w:rsidRPr="00725601">
                  <w:rPr>
                    <w:rFonts w:ascii="Times New Roman" w:eastAsiaTheme="minorEastAsia" w:hAnsi="Times New Roman" w:cs="Times New Roman"/>
                    <w:sz w:val="24"/>
                    <w:szCs w:val="24"/>
                  </w:rPr>
                  <w:br/>
                  <w:t>5)</w:t>
                </w:r>
                <w:r w:rsidRPr="00725601">
                  <w:rPr>
                    <w:rFonts w:ascii="Times New Roman" w:eastAsiaTheme="minorEastAsia" w:hAnsi="Times New Roman" w:cs="Times New Roman"/>
                    <w:sz w:val="24"/>
                    <w:szCs w:val="24"/>
                  </w:rPr>
                  <w:tab/>
                  <w:t xml:space="preserve">Explain the importance of cultural competence, social justice, ethics, and advocacy in serving diverse individuals    </w:t>
                </w:r>
                <w:r w:rsidRPr="00725601">
                  <w:rPr>
                    <w:rFonts w:ascii="Times New Roman" w:eastAsiaTheme="minorEastAsia" w:hAnsi="Times New Roman" w:cs="Times New Roman"/>
                    <w:sz w:val="24"/>
                    <w:szCs w:val="24"/>
                  </w:rPr>
                  <w:br/>
                </w:r>
                <w:r w:rsidRPr="00725601">
                  <w:rPr>
                    <w:rFonts w:ascii="Times New Roman" w:eastAsiaTheme="minorEastAsia" w:hAnsi="Times New Roman" w:cs="Times New Roman"/>
                    <w:sz w:val="24"/>
                    <w:szCs w:val="24"/>
                  </w:rPr>
                  <w:br/>
                  <w:t>Mapping to CSUEB Institutional Learning Outcomes:</w:t>
                </w:r>
                <w:r w:rsidRPr="00725601">
                  <w:rPr>
                    <w:rFonts w:ascii="Times New Roman" w:eastAsiaTheme="minorEastAsia" w:hAnsi="Times New Roman" w:cs="Times New Roman"/>
                    <w:sz w:val="24"/>
                    <w:szCs w:val="24"/>
                  </w:rPr>
                  <w:br/>
                  <w:t>Thinking and reasoning – SLO1</w:t>
                </w:r>
                <w:r w:rsidRPr="00725601">
                  <w:rPr>
                    <w:rFonts w:ascii="Times New Roman" w:eastAsiaTheme="minorEastAsia" w:hAnsi="Times New Roman" w:cs="Times New Roman"/>
                    <w:sz w:val="24"/>
                    <w:szCs w:val="24"/>
                  </w:rPr>
                  <w:br/>
                  <w:t>Specialized Education – SLO 2, 3, 5</w:t>
                </w:r>
                <w:r w:rsidRPr="00725601">
                  <w:rPr>
                    <w:rFonts w:ascii="Times New Roman" w:eastAsiaTheme="minorEastAsia" w:hAnsi="Times New Roman" w:cs="Times New Roman"/>
                    <w:sz w:val="24"/>
                    <w:szCs w:val="24"/>
                  </w:rPr>
                  <w:br/>
                  <w:t>Collaboration – SLO4</w:t>
                </w:r>
                <w:r w:rsidRPr="00725601">
                  <w:rPr>
                    <w:rFonts w:ascii="Times New Roman" w:eastAsiaTheme="minorEastAsia" w:hAnsi="Times New Roman" w:cs="Times New Roman"/>
                    <w:sz w:val="24"/>
                    <w:szCs w:val="24"/>
                  </w:rPr>
                  <w:br/>
                  <w:t>Diversity – SLO 3 (lifespan), SLO 5</w:t>
                </w:r>
                <w:r w:rsidRPr="00725601">
                  <w:rPr>
                    <w:rFonts w:ascii="Times New Roman" w:eastAsiaTheme="minorEastAsia" w:hAnsi="Times New Roman" w:cs="Times New Roman"/>
                    <w:sz w:val="24"/>
                    <w:szCs w:val="24"/>
                  </w:rPr>
                  <w:br/>
                </w:r>
                <w:r w:rsidRPr="00725601">
                  <w:rPr>
                    <w:rFonts w:ascii="Times New Roman" w:eastAsiaTheme="minorEastAsia" w:hAnsi="Times New Roman" w:cs="Times New Roman"/>
                    <w:sz w:val="24"/>
                    <w:szCs w:val="24"/>
                  </w:rPr>
                  <w:br/>
                  <w:t xml:space="preserve">Master of Science in Speech-Language Pathology </w:t>
                </w:r>
                <w:r w:rsidRPr="00725601">
                  <w:rPr>
                    <w:rFonts w:ascii="Times New Roman" w:eastAsiaTheme="minorEastAsia" w:hAnsi="Times New Roman" w:cs="Times New Roman"/>
                    <w:sz w:val="24"/>
                    <w:szCs w:val="24"/>
                  </w:rPr>
                  <w:br/>
                  <w:t>Students graduating with an M.S. in Speech-Language Pathology from California State University East Bay will:</w:t>
                </w:r>
                <w:r w:rsidRPr="00725601">
                  <w:rPr>
                    <w:rFonts w:ascii="Times New Roman" w:eastAsiaTheme="minorEastAsia" w:hAnsi="Times New Roman" w:cs="Times New Roman"/>
                    <w:sz w:val="24"/>
                    <w:szCs w:val="24"/>
                  </w:rPr>
                  <w:br/>
                  <w:t>1)</w:t>
                </w:r>
                <w:r w:rsidRPr="00725601">
                  <w:rPr>
                    <w:rFonts w:ascii="Times New Roman" w:eastAsiaTheme="minorEastAsia" w:hAnsi="Times New Roman" w:cs="Times New Roman"/>
                    <w:sz w:val="24"/>
                    <w:szCs w:val="24"/>
                  </w:rPr>
                  <w:tab/>
                  <w:t>Screen, assess and treat individuals with a variety of communicative disorders across the lifespan</w:t>
                </w:r>
                <w:r w:rsidRPr="00725601">
                  <w:rPr>
                    <w:rFonts w:ascii="Times New Roman" w:eastAsiaTheme="minorEastAsia" w:hAnsi="Times New Roman" w:cs="Times New Roman"/>
                    <w:sz w:val="24"/>
                    <w:szCs w:val="24"/>
                  </w:rPr>
                  <w:br/>
                  <w:t>2)</w:t>
                </w:r>
                <w:r w:rsidRPr="00725601">
                  <w:rPr>
                    <w:rFonts w:ascii="Times New Roman" w:eastAsiaTheme="minorEastAsia" w:hAnsi="Times New Roman" w:cs="Times New Roman"/>
                    <w:sz w:val="24"/>
                    <w:szCs w:val="24"/>
                  </w:rPr>
                  <w:tab/>
                  <w:t xml:space="preserve">Communicate and collaborate effectively with clients, families, and other professionals </w:t>
                </w:r>
                <w:r w:rsidRPr="00725601">
                  <w:rPr>
                    <w:rFonts w:ascii="Times New Roman" w:eastAsiaTheme="minorEastAsia" w:hAnsi="Times New Roman" w:cs="Times New Roman"/>
                    <w:sz w:val="24"/>
                    <w:szCs w:val="24"/>
                  </w:rPr>
                  <w:br/>
                  <w:t>3)</w:t>
                </w:r>
                <w:r w:rsidRPr="00725601">
                  <w:rPr>
                    <w:rFonts w:ascii="Times New Roman" w:eastAsiaTheme="minorEastAsia" w:hAnsi="Times New Roman" w:cs="Times New Roman"/>
                    <w:sz w:val="24"/>
                    <w:szCs w:val="24"/>
                  </w:rPr>
                  <w:tab/>
                  <w:t xml:space="preserve">Evaluate and apply clinical research, recognizing the need for evidence to support best </w:t>
                </w:r>
                <w:r w:rsidRPr="00725601">
                  <w:rPr>
                    <w:rFonts w:ascii="Times New Roman" w:eastAsiaTheme="minorEastAsia" w:hAnsi="Times New Roman" w:cs="Times New Roman"/>
                    <w:sz w:val="24"/>
                    <w:szCs w:val="24"/>
                  </w:rPr>
                  <w:lastRenderedPageBreak/>
                  <w:t xml:space="preserve">practices in clinical service delivery </w:t>
                </w:r>
                <w:r w:rsidRPr="00725601">
                  <w:rPr>
                    <w:rFonts w:ascii="Times New Roman" w:eastAsiaTheme="minorEastAsia" w:hAnsi="Times New Roman" w:cs="Times New Roman"/>
                    <w:sz w:val="24"/>
                    <w:szCs w:val="24"/>
                  </w:rPr>
                  <w:br/>
                  <w:t>4)</w:t>
                </w:r>
                <w:r w:rsidRPr="00725601">
                  <w:rPr>
                    <w:rFonts w:ascii="Times New Roman" w:eastAsiaTheme="minorEastAsia" w:hAnsi="Times New Roman" w:cs="Times New Roman"/>
                    <w:sz w:val="24"/>
                    <w:szCs w:val="24"/>
                  </w:rPr>
                  <w:tab/>
                  <w:t>Consistently apply ethical professional standards, recognize and respect the limits of their professional preparation and clinical skills, and work effectively with other professionals</w:t>
                </w:r>
                <w:r w:rsidRPr="00725601">
                  <w:rPr>
                    <w:rFonts w:ascii="Times New Roman" w:eastAsiaTheme="minorEastAsia" w:hAnsi="Times New Roman" w:cs="Times New Roman"/>
                    <w:sz w:val="24"/>
                    <w:szCs w:val="24"/>
                  </w:rPr>
                  <w:br/>
                  <w:t>5)</w:t>
                </w:r>
                <w:r w:rsidRPr="00725601">
                  <w:rPr>
                    <w:rFonts w:ascii="Times New Roman" w:eastAsiaTheme="minorEastAsia" w:hAnsi="Times New Roman" w:cs="Times New Roman"/>
                    <w:sz w:val="24"/>
                    <w:szCs w:val="24"/>
                  </w:rPr>
                  <w:tab/>
                  <w:t>Demonstrate cultural competence and commitment to advocacy for persons with communicative disorders</w:t>
                </w:r>
                <w:r w:rsidRPr="00725601">
                  <w:rPr>
                    <w:rFonts w:ascii="Times New Roman" w:eastAsiaTheme="minorEastAsia" w:hAnsi="Times New Roman" w:cs="Times New Roman"/>
                    <w:sz w:val="24"/>
                    <w:szCs w:val="24"/>
                  </w:rPr>
                  <w:br/>
                </w:r>
                <w:r w:rsidRPr="00725601">
                  <w:rPr>
                    <w:rFonts w:ascii="Times New Roman" w:eastAsiaTheme="minorEastAsia" w:hAnsi="Times New Roman" w:cs="Times New Roman"/>
                    <w:sz w:val="24"/>
                    <w:szCs w:val="24"/>
                  </w:rPr>
                  <w:br/>
                  <w:t>Mapping to CSUEB Institutional Learning Outcomes:</w:t>
                </w:r>
                <w:r w:rsidRPr="00725601">
                  <w:rPr>
                    <w:rFonts w:ascii="Times New Roman" w:eastAsiaTheme="minorEastAsia" w:hAnsi="Times New Roman" w:cs="Times New Roman"/>
                    <w:sz w:val="24"/>
                    <w:szCs w:val="24"/>
                  </w:rPr>
                  <w:br/>
                  <w:t>Thinking and reasoning – SLOs 1, 3, 4</w:t>
                </w:r>
                <w:r w:rsidRPr="00725601">
                  <w:rPr>
                    <w:rFonts w:ascii="Times New Roman" w:eastAsiaTheme="minorEastAsia" w:hAnsi="Times New Roman" w:cs="Times New Roman"/>
                    <w:sz w:val="24"/>
                    <w:szCs w:val="24"/>
                  </w:rPr>
                  <w:br/>
                  <w:t>Communication – SLOs 2, 5</w:t>
                </w:r>
                <w:r w:rsidRPr="00725601">
                  <w:rPr>
                    <w:rFonts w:ascii="Times New Roman" w:eastAsiaTheme="minorEastAsia" w:hAnsi="Times New Roman" w:cs="Times New Roman"/>
                    <w:sz w:val="24"/>
                    <w:szCs w:val="24"/>
                  </w:rPr>
                  <w:br/>
                  <w:t>Collaboration – SLO 2</w:t>
                </w:r>
                <w:r w:rsidRPr="00725601">
                  <w:rPr>
                    <w:rFonts w:ascii="Times New Roman" w:eastAsiaTheme="minorEastAsia" w:hAnsi="Times New Roman" w:cs="Times New Roman"/>
                    <w:sz w:val="24"/>
                    <w:szCs w:val="24"/>
                  </w:rPr>
                  <w:br/>
                  <w:t>Diversity – SLO 5</w:t>
                </w:r>
                <w:r w:rsidRPr="00725601">
                  <w:rPr>
                    <w:rFonts w:ascii="Times New Roman" w:eastAsiaTheme="minorEastAsia" w:hAnsi="Times New Roman" w:cs="Times New Roman"/>
                    <w:sz w:val="24"/>
                    <w:szCs w:val="24"/>
                  </w:rPr>
                  <w:br/>
                  <w:t>Specialized Education – SLOs 1, 2, 3, 4, 5ease list all outcomes in the box below, and append a curriculum map showing alignment of the Program Student Learning Outcomes and CSUEB Institutional Learning Outcomes.</w:t>
                </w:r>
              </w:p>
            </w:tc>
          </w:sdtContent>
        </w:sdt>
      </w:tr>
    </w:tbl>
    <w:p w:rsidR="007A55FE" w:rsidRPr="005011BE" w:rsidRDefault="007A55FE" w:rsidP="007A55FE">
      <w:pPr>
        <w:rPr>
          <w:b/>
          <w:u w:val="single"/>
        </w:rPr>
      </w:pPr>
    </w:p>
    <w:p w:rsidR="007A55FE" w:rsidRPr="005011BE" w:rsidRDefault="007A55FE" w:rsidP="007A55FE">
      <w:pPr>
        <w:rPr>
          <w:b/>
        </w:rPr>
      </w:pPr>
      <w:r w:rsidRPr="005011BE">
        <w:rPr>
          <w:b/>
        </w:rPr>
        <w:t>B. Program Student Learning Outcome(s) Assessed</w:t>
      </w:r>
    </w:p>
    <w:p w:rsidR="007A55FE" w:rsidRPr="005011BE"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5011BE" w:rsidTr="00160481">
        <w:sdt>
          <w:sdtPr>
            <w:rPr>
              <w:rFonts w:eastAsiaTheme="minorEastAsia"/>
            </w:rPr>
            <w:id w:val="31195448"/>
            <w:placeholder>
              <w:docPart w:val="05AA48AB991A42FE91A8DA1D9FF79E73"/>
            </w:placeholder>
            <w:text w:multiLine="1"/>
          </w:sdtPr>
          <w:sdtEndPr/>
          <w:sdtContent>
            <w:tc>
              <w:tcPr>
                <w:tcW w:w="9576" w:type="dxa"/>
              </w:tcPr>
              <w:p w:rsidR="007A55FE" w:rsidRPr="005011BE" w:rsidRDefault="008B7EB9" w:rsidP="008B7EB9">
                <w:pPr>
                  <w:rPr>
                    <w:rFonts w:ascii="Times New Roman" w:hAnsi="Times New Roman" w:cs="Times New Roman"/>
                  </w:rPr>
                </w:pPr>
                <w:r w:rsidRPr="008B7EB9">
                  <w:rPr>
                    <w:rFonts w:eastAsiaTheme="minorEastAsia"/>
                  </w:rPr>
                  <w:t>The assessment conducted in CSD was most closely related to Undergraduate SLO 2 (Integrate knowledge from basic and behavioral sciences and humanities with contemporary theory and practice in speech-language pathology</w:t>
                </w:r>
                <w:r>
                  <w:rPr>
                    <w:rFonts w:eastAsiaTheme="minorEastAsia"/>
                  </w:rPr>
                  <w:t>)</w:t>
                </w:r>
              </w:p>
            </w:tc>
          </w:sdtContent>
        </w:sdt>
      </w:tr>
    </w:tbl>
    <w:p w:rsidR="007A55FE" w:rsidRPr="005011BE" w:rsidRDefault="007A55FE" w:rsidP="007A55FE">
      <w:pPr>
        <w:pStyle w:val="ListParagraph"/>
        <w:spacing w:line="240" w:lineRule="auto"/>
        <w:rPr>
          <w:rFonts w:ascii="Times New Roman" w:hAnsi="Times New Roman" w:cs="Times New Roman"/>
          <w:sz w:val="24"/>
          <w:szCs w:val="24"/>
        </w:rPr>
      </w:pPr>
    </w:p>
    <w:p w:rsidR="007A55FE" w:rsidRPr="005011BE" w:rsidRDefault="007A55FE" w:rsidP="007A55FE">
      <w:pPr>
        <w:rPr>
          <w:b/>
        </w:rPr>
      </w:pPr>
      <w:r w:rsidRPr="005011BE">
        <w:rPr>
          <w:b/>
        </w:rPr>
        <w:t>C. Summary of Assessment Process</w:t>
      </w:r>
    </w:p>
    <w:p w:rsidR="007A55FE" w:rsidRPr="005011BE"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5011BE" w:rsidTr="00160481">
        <w:sdt>
          <w:sdtPr>
            <w:id w:val="31195449"/>
            <w:placeholder>
              <w:docPart w:val="DAE059B2108C411C91B3B49F9B662F28"/>
            </w:placeholder>
            <w:text w:multiLine="1"/>
          </w:sdtPr>
          <w:sdtEndPr/>
          <w:sdtContent>
            <w:tc>
              <w:tcPr>
                <w:tcW w:w="9576" w:type="dxa"/>
              </w:tcPr>
              <w:p w:rsidR="007A55FE" w:rsidRPr="005011BE" w:rsidRDefault="00614646" w:rsidP="00614646">
                <w:pPr>
                  <w:rPr>
                    <w:rFonts w:ascii="Times New Roman" w:hAnsi="Times New Roman" w:cs="Times New Roman"/>
                  </w:rPr>
                </w:pPr>
                <w:r>
                  <w:t xml:space="preserve">     </w:t>
                </w:r>
                <w:r w:rsidR="008B7EB9">
                  <w:rPr>
                    <w:rFonts w:ascii="Times New Roman" w:hAnsi="Times New Roman" w:cs="Times New Roman"/>
                  </w:rPr>
                  <w:t xml:space="preserve">In 2013-2014, we assessed levels of instruction and student performance in topics related to children’s development of literacy, over the years 2011-2014. (Literacy acquisition is closely related to oral language development and is an instructional area required for accreditation by the CTC.) To this end, we collected data, per course, on percentage of instructional time spent on literacy, areas of literacy addressed, assignments where literacy was targeted and student grade averages on these assignments.    </w:t>
                </w:r>
                <w:r>
                  <w:rPr>
                    <w:rFonts w:ascii="Times New Roman" w:hAnsi="Times New Roman" w:cs="Times New Roman"/>
                  </w:rPr>
                  <w:br/>
                </w:r>
                <w:r>
                  <w:t xml:space="preserve">      The CSD program is accredited by the Commission on Teacher Credentialing (CTC) and by the American Speech, Language and Hearing Association (ASHA). This year, ASHA revised its educational standards. Therefore, as a component of this project, we also re-mapped our departmental SLOs to the new ASHA standards and to CTC standards. </w:t>
                </w:r>
              </w:p>
            </w:tc>
          </w:sdtContent>
        </w:sdt>
      </w:tr>
    </w:tbl>
    <w:p w:rsidR="007A55FE" w:rsidRPr="005011BE" w:rsidRDefault="007A55FE" w:rsidP="007A55FE">
      <w:pPr>
        <w:pStyle w:val="ListParagraph"/>
        <w:spacing w:after="0" w:line="240" w:lineRule="auto"/>
        <w:rPr>
          <w:rFonts w:ascii="Times New Roman" w:hAnsi="Times New Roman" w:cs="Times New Roman"/>
          <w:sz w:val="24"/>
          <w:szCs w:val="24"/>
        </w:rPr>
      </w:pPr>
    </w:p>
    <w:p w:rsidR="007A55FE" w:rsidRPr="005011BE" w:rsidRDefault="007A55FE" w:rsidP="009653DB">
      <w:pPr>
        <w:keepNext/>
      </w:pPr>
      <w:bookmarkStart w:id="0" w:name="_GoBack"/>
      <w:r w:rsidRPr="005011BE">
        <w:rPr>
          <w:b/>
        </w:rPr>
        <w:lastRenderedPageBreak/>
        <w:t xml:space="preserve">D. Summary of Assessment Results </w:t>
      </w:r>
    </w:p>
    <w:p w:rsidR="007A55FE" w:rsidRPr="005011BE" w:rsidRDefault="007A55FE" w:rsidP="009653DB">
      <w:pPr>
        <w:pStyle w:val="ListParagraph"/>
        <w:keepNext/>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5011BE" w:rsidTr="00160481">
        <w:sdt>
          <w:sdtPr>
            <w:rPr>
              <w:rFonts w:ascii="Calibri" w:hAnsi="Calibri" w:cs="Calibri"/>
              <w:color w:val="000000"/>
            </w:rPr>
            <w:id w:val="536932939"/>
            <w:placeholder>
              <w:docPart w:val="0ACF24298F3E416CAE4B0564F7C77AFE"/>
            </w:placeholder>
            <w:text w:multiLine="1"/>
          </w:sdtPr>
          <w:sdtEndPr/>
          <w:sdtContent>
            <w:tc>
              <w:tcPr>
                <w:tcW w:w="9576" w:type="dxa"/>
              </w:tcPr>
              <w:p w:rsidR="007A55FE" w:rsidRPr="005011BE" w:rsidRDefault="00614646" w:rsidP="009653DB">
                <w:pPr>
                  <w:keepNext/>
                  <w:rPr>
                    <w:rFonts w:ascii="Times New Roman" w:hAnsi="Times New Roman" w:cs="Times New Roman"/>
                  </w:rPr>
                </w:pPr>
                <w:r w:rsidRPr="007D1613">
                  <w:rPr>
                    <w:rFonts w:ascii="Calibri" w:hAnsi="Calibri" w:cs="Calibri"/>
                    <w:color w:val="000000"/>
                  </w:rPr>
                  <w:t xml:space="preserve">       </w:t>
                </w:r>
                <w:r w:rsidR="003E6D15" w:rsidRPr="007D1613">
                  <w:rPr>
                    <w:rFonts w:ascii="Calibri" w:hAnsi="Calibri" w:cs="Calibri"/>
                    <w:color w:val="000000"/>
                  </w:rPr>
                  <w:t xml:space="preserve">We found that literacy instruction is embedded into twelve courses across the curriculum, including eight undergraduate and four graduate courses. In these courses, literacy instruction currently takes between 5-10% of instructional time and accounts for between 2-11% of the class grade. Literacy topics currently covered include: </w:t>
                </w:r>
                <w:r w:rsidR="003E6D15" w:rsidRPr="007D1613">
                  <w:rPr>
                    <w:rFonts w:ascii="Calibri" w:hAnsi="Calibri" w:cs="Calibri"/>
                    <w:color w:val="000000"/>
                  </w:rPr>
                  <w:br/>
                  <w:t xml:space="preserve">a)SLP scope of practice within literacy </w:t>
                </w:r>
                <w:r w:rsidR="003E6D15" w:rsidRPr="007D1613">
                  <w:rPr>
                    <w:rFonts w:ascii="Calibri" w:hAnsi="Calibri" w:cs="Calibri"/>
                    <w:color w:val="000000"/>
                  </w:rPr>
                  <w:br/>
                  <w:t>b)Oral language and literacy relationship</w:t>
                </w:r>
                <w:r w:rsidR="003E6D15" w:rsidRPr="007D1613">
                  <w:rPr>
                    <w:rFonts w:ascii="Calibri" w:hAnsi="Calibri" w:cs="Calibri"/>
                    <w:color w:val="000000"/>
                  </w:rPr>
                  <w:br/>
                  <w:t>c)Emerging literacy milestones</w:t>
                </w:r>
                <w:r w:rsidR="003E6D15" w:rsidRPr="007D1613">
                  <w:rPr>
                    <w:rFonts w:ascii="Calibri" w:hAnsi="Calibri" w:cs="Calibri"/>
                    <w:color w:val="000000"/>
                  </w:rPr>
                  <w:br/>
                  <w:t>d)Literacy acquisition across school age</w:t>
                </w:r>
                <w:r w:rsidR="003E6D15" w:rsidRPr="007D1613">
                  <w:rPr>
                    <w:rFonts w:ascii="Calibri" w:hAnsi="Calibri" w:cs="Calibri"/>
                    <w:color w:val="000000"/>
                  </w:rPr>
                  <w:br/>
                  <w:t>e)Assessing literacy skills via Response-to-Intervention (RTI)</w:t>
                </w:r>
                <w:r w:rsidR="003E6D15" w:rsidRPr="007D1613">
                  <w:rPr>
                    <w:rFonts w:ascii="Calibri" w:hAnsi="Calibri" w:cs="Calibri"/>
                    <w:color w:val="000000"/>
                  </w:rPr>
                  <w:br/>
                  <w:t>f)Facilitating pre-literacy (phonological awareness and oral narrative skills)</w:t>
                </w:r>
                <w:r w:rsidR="003E6D15" w:rsidRPr="007D1613">
                  <w:rPr>
                    <w:rFonts w:ascii="Calibri" w:hAnsi="Calibri" w:cs="Calibri"/>
                    <w:color w:val="000000"/>
                  </w:rPr>
                  <w:br/>
                  <w:t>g)Phonemic awareness and phonemic inventory</w:t>
                </w:r>
                <w:r w:rsidR="003E6D15" w:rsidRPr="007D1613">
                  <w:rPr>
                    <w:rFonts w:ascii="Calibri" w:hAnsi="Calibri" w:cs="Calibri"/>
                    <w:color w:val="000000"/>
                  </w:rPr>
                  <w:br/>
                  <w:t xml:space="preserve">h)Second language acquisition and </w:t>
                </w:r>
                <w:proofErr w:type="spellStart"/>
                <w:r w:rsidR="003E6D15" w:rsidRPr="007D1613">
                  <w:rPr>
                    <w:rFonts w:ascii="Calibri" w:hAnsi="Calibri" w:cs="Calibri"/>
                    <w:color w:val="000000"/>
                  </w:rPr>
                  <w:t>biliteracy</w:t>
                </w:r>
                <w:proofErr w:type="spellEnd"/>
                <w:r w:rsidR="003E6D15" w:rsidRPr="007D1613">
                  <w:rPr>
                    <w:rFonts w:ascii="Calibri" w:hAnsi="Calibri" w:cs="Calibri"/>
                    <w:color w:val="000000"/>
                  </w:rPr>
                  <w:br/>
                  <w:t>i)Supporting literacy through Augmentative / Alternative Communication</w:t>
                </w:r>
                <w:r w:rsidR="003E6D15" w:rsidRPr="007D1613">
                  <w:rPr>
                    <w:rFonts w:ascii="Calibri" w:hAnsi="Calibri" w:cs="Calibri"/>
                    <w:color w:val="000000"/>
                  </w:rPr>
                  <w:br/>
                  <w:t>j)Incorporating literacy and pre-literacy into therapy goals, activities and supports.</w:t>
                </w:r>
                <w:r w:rsidR="003E6D15" w:rsidRPr="007D1613">
                  <w:rPr>
                    <w:rFonts w:ascii="Calibri" w:hAnsi="Calibri" w:cs="Calibri"/>
                    <w:color w:val="000000"/>
                  </w:rPr>
                  <w:br/>
                </w:r>
                <w:proofErr w:type="gramStart"/>
                <w:r w:rsidR="003E6D15" w:rsidRPr="007D1613">
                  <w:rPr>
                    <w:rFonts w:ascii="Calibri" w:hAnsi="Calibri" w:cs="Calibri"/>
                    <w:color w:val="000000"/>
                  </w:rPr>
                  <w:t>k)Family</w:t>
                </w:r>
                <w:proofErr w:type="gramEnd"/>
                <w:r w:rsidR="003E6D15" w:rsidRPr="007D1613">
                  <w:rPr>
                    <w:rFonts w:ascii="Calibri" w:hAnsi="Calibri" w:cs="Calibri"/>
                    <w:color w:val="000000"/>
                  </w:rPr>
                  <w:t xml:space="preserve"> training using literacy tools. </w:t>
                </w:r>
                <w:r w:rsidR="003E6D15" w:rsidRPr="007D1613">
                  <w:rPr>
                    <w:rFonts w:ascii="Calibri" w:hAnsi="Calibri" w:cs="Calibri"/>
                    <w:color w:val="000000"/>
                  </w:rPr>
                  <w:br/>
                  <w:t xml:space="preserve">       Literacy instruction is typically embedded into other topics within communicative disorders. Therefore, it makes sense that literacy-related skills of our students are assessed predominantly within the context of larger exams/assignments. Although we do not </w:t>
                </w:r>
                <w:r w:rsidRPr="007D1613">
                  <w:rPr>
                    <w:rFonts w:ascii="Calibri" w:hAnsi="Calibri" w:cs="Calibri"/>
                    <w:color w:val="000000"/>
                  </w:rPr>
                  <w:t xml:space="preserve">have </w:t>
                </w:r>
                <w:r w:rsidR="003E6D15" w:rsidRPr="007D1613">
                  <w:rPr>
                    <w:rFonts w:ascii="Calibri" w:hAnsi="Calibri" w:cs="Calibri"/>
                    <w:color w:val="000000"/>
                  </w:rPr>
                  <w:t>extensive data to demonstrate specifically that our students are retaining this literacy information, available data show that students appear to be passing the vast majority of these assignments, with average scores of around 90% in graded assignments and passing scores on</w:t>
                </w:r>
                <w:r w:rsidRPr="007D1613">
                  <w:rPr>
                    <w:rFonts w:ascii="Calibri" w:hAnsi="Calibri" w:cs="Calibri"/>
                    <w:color w:val="000000"/>
                  </w:rPr>
                  <w:t xml:space="preserve"> pass/no pass</w:t>
                </w:r>
                <w:r w:rsidR="003E6D15" w:rsidRPr="007D1613">
                  <w:rPr>
                    <w:rFonts w:ascii="Calibri" w:hAnsi="Calibri" w:cs="Calibri"/>
                    <w:color w:val="000000"/>
                  </w:rPr>
                  <w:t xml:space="preserve"> assignments. </w:t>
                </w:r>
                <w:r w:rsidR="003E6D15" w:rsidRPr="007D1613">
                  <w:rPr>
                    <w:rFonts w:ascii="Calibri" w:hAnsi="Calibri" w:cs="Calibri"/>
                    <w:color w:val="000000"/>
                  </w:rPr>
                  <w:br/>
                  <w:t xml:space="preserve">      There are two assignments devoted explicitly to literacy: an in-depth case study in our graduate course in Advanced Language Disorders and an assignment on supporting literacy through Augmentative/Alternative Communication in our graduate class in AAC.  100% of students have been passing both literacy-specific assignments in the reported years.</w:t>
                </w:r>
                <w:r w:rsidR="003E6D15" w:rsidRPr="007D1613">
                  <w:rPr>
                    <w:rFonts w:ascii="Calibri" w:hAnsi="Calibri" w:cs="Calibri"/>
                    <w:color w:val="000000"/>
                  </w:rPr>
                  <w:br/>
                  <w:t xml:space="preserve">       Closing the loop: We presented results at a faculty meeting, with two questions posed for discussion: </w:t>
                </w:r>
                <w:r w:rsidR="003E6D15" w:rsidRPr="007D1613">
                  <w:rPr>
                    <w:rFonts w:ascii="Calibri" w:hAnsi="Calibri" w:cs="Calibri"/>
                    <w:color w:val="000000"/>
                  </w:rPr>
                  <w:br/>
                  <w:t xml:space="preserve">1.”Are there areas of literacy instruction missing from this list?” </w:t>
                </w:r>
                <w:r w:rsidR="003E6D15" w:rsidRPr="007D1613">
                  <w:rPr>
                    <w:rFonts w:ascii="Calibri" w:hAnsi="Calibri" w:cs="Calibri"/>
                    <w:color w:val="000000"/>
                  </w:rPr>
                  <w:br/>
                  <w:t>Relevant areas of literacy appear to be well-represented in our instruction.</w:t>
                </w:r>
                <w:r w:rsidR="003E6D15" w:rsidRPr="007D1613">
                  <w:rPr>
                    <w:rFonts w:ascii="Calibri" w:hAnsi="Calibri" w:cs="Calibri"/>
                    <w:color w:val="000000"/>
                  </w:rPr>
                  <w:br/>
                  <w:t>2. “Do you think we should have a way to assess literacy instruction specifically, given that it is part of the new CTC accreditation standards?”</w:t>
                </w:r>
                <w:r w:rsidR="003E6D15" w:rsidRPr="007D1613">
                  <w:rPr>
                    <w:rFonts w:ascii="Calibri" w:hAnsi="Calibri" w:cs="Calibri"/>
                    <w:color w:val="000000"/>
                  </w:rPr>
                  <w:br/>
                  <w:t xml:space="preserve">     We are considering several new ways to assess and highlight literacy knowledge specifically. We will do this in the following ways: (a) Add a literacy component to the “Competencies Portfolio” that our graduate students compile prior to graduation. In this portfolio, students </w:t>
                </w:r>
                <w:r w:rsidR="003E6D15" w:rsidRPr="007D1613">
                  <w:rPr>
                    <w:rFonts w:ascii="Calibri" w:hAnsi="Calibri" w:cs="Calibri"/>
                    <w:color w:val="000000"/>
                  </w:rPr>
                  <w:lastRenderedPageBreak/>
                  <w:t xml:space="preserve">report and collect evidence of various competencies they have developed in the program, using artifacts such as class projects and clinical documents. (b) Add a literacy component to one of the questions on our comprehensive </w:t>
                </w:r>
                <w:r w:rsidRPr="007D1613">
                  <w:rPr>
                    <w:rFonts w:ascii="Calibri" w:hAnsi="Calibri" w:cs="Calibri"/>
                    <w:color w:val="000000"/>
                  </w:rPr>
                  <w:t xml:space="preserve">exit </w:t>
                </w:r>
                <w:r w:rsidR="003E6D15" w:rsidRPr="007D1613">
                  <w:rPr>
                    <w:rFonts w:ascii="Calibri" w:hAnsi="Calibri" w:cs="Calibri"/>
                    <w:color w:val="000000"/>
                  </w:rPr>
                  <w:t xml:space="preserve">exam. </w:t>
                </w:r>
                <w:r w:rsidRPr="007D1613">
                  <w:rPr>
                    <w:rFonts w:ascii="Calibri" w:hAnsi="Calibri" w:cs="Calibri"/>
                    <w:color w:val="000000"/>
                  </w:rPr>
                  <w:t>All g</w:t>
                </w:r>
                <w:r w:rsidR="003E6D15" w:rsidRPr="007D1613">
                  <w:rPr>
                    <w:rFonts w:ascii="Calibri" w:hAnsi="Calibri" w:cs="Calibri"/>
                    <w:color w:val="000000"/>
                  </w:rPr>
                  <w:t>raduate students take a comprehensive written exam</w:t>
                </w:r>
                <w:r w:rsidRPr="007D1613">
                  <w:rPr>
                    <w:rFonts w:ascii="Calibri" w:hAnsi="Calibri" w:cs="Calibri"/>
                    <w:color w:val="000000"/>
                  </w:rPr>
                  <w:t xml:space="preserve"> that includes four in-depth case studies where students must draw on knowledge from different areas of communicative disorders.</w:t>
                </w:r>
                <w:r w:rsidR="003E6D15" w:rsidRPr="007D1613">
                  <w:rPr>
                    <w:rFonts w:ascii="Calibri" w:hAnsi="Calibri" w:cs="Calibri"/>
                    <w:color w:val="000000"/>
                  </w:rPr>
                  <w:t xml:space="preserve"> </w:t>
                </w:r>
              </w:p>
            </w:tc>
          </w:sdtContent>
        </w:sdt>
      </w:tr>
      <w:bookmarkEnd w:id="0"/>
    </w:tbl>
    <w:p w:rsidR="007A55FE" w:rsidRPr="005011BE" w:rsidRDefault="007A55FE" w:rsidP="007A55FE"/>
    <w:p w:rsidR="0042574D" w:rsidRPr="005011BE" w:rsidRDefault="0042574D" w:rsidP="0042574D">
      <w:r w:rsidRPr="005011BE">
        <w:rPr>
          <w:b/>
        </w:rPr>
        <w:t xml:space="preserve">E. Suggestions and Recommendations for the CLASS FACT Project in the Future </w:t>
      </w:r>
    </w:p>
    <w:p w:rsidR="0042574D" w:rsidRPr="005011BE"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5011BE" w:rsidTr="00160481">
        <w:sdt>
          <w:sdtPr>
            <w:id w:val="-1743481736"/>
            <w:placeholder>
              <w:docPart w:val="EEE27DD504914C1FB57312F1D08E5C22"/>
            </w:placeholder>
            <w:text w:multiLine="1"/>
          </w:sdtPr>
          <w:sdtEndPr/>
          <w:sdtContent>
            <w:tc>
              <w:tcPr>
                <w:tcW w:w="9576" w:type="dxa"/>
              </w:tcPr>
              <w:p w:rsidR="0042574D" w:rsidRPr="005011BE" w:rsidRDefault="00614646" w:rsidP="00614646">
                <w:pPr>
                  <w:rPr>
                    <w:rFonts w:ascii="Times New Roman" w:hAnsi="Times New Roman" w:cs="Times New Roman"/>
                  </w:rPr>
                </w:pPr>
                <w:r>
                  <w:t>No suggestions at this point.</w:t>
                </w:r>
              </w:p>
            </w:tc>
          </w:sdtContent>
        </w:sdt>
      </w:tr>
    </w:tbl>
    <w:p w:rsidR="00CA3632" w:rsidRPr="005011BE" w:rsidRDefault="00CA3632" w:rsidP="00030FE2">
      <w:pPr>
        <w:ind w:left="540" w:right="180"/>
      </w:pPr>
    </w:p>
    <w:sectPr w:rsidR="00CA3632" w:rsidRPr="005011BE"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C9" w:rsidRDefault="00B132C9" w:rsidP="00D40636">
      <w:r>
        <w:separator/>
      </w:r>
    </w:p>
  </w:endnote>
  <w:endnote w:type="continuationSeparator" w:id="0">
    <w:p w:rsidR="00B132C9" w:rsidRDefault="00B132C9"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C9" w:rsidRDefault="00B132C9" w:rsidP="00D40636">
      <w:r>
        <w:separator/>
      </w:r>
    </w:p>
  </w:footnote>
  <w:footnote w:type="continuationSeparator" w:id="0">
    <w:p w:rsidR="00B132C9" w:rsidRDefault="00B132C9"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anchor>
      </w:drawing>
    </w:r>
    <w:smartTag w:uri="urn:schemas-microsoft-com:office:smarttags" w:element="place">
      <w:smartTag w:uri="urn:schemas-microsoft-com:office:smarttags" w:element="PlaceType">
        <w:r w:rsidR="00B62583" w:rsidRPr="00631DA8">
          <w:rPr>
            <w:spacing w:val="2"/>
          </w:rPr>
          <w:t>College</w:t>
        </w:r>
      </w:smartTag>
      <w:r w:rsidR="00B62583" w:rsidRPr="00631DA8">
        <w:rPr>
          <w:spacing w:val="2"/>
        </w:rPr>
        <w:t xml:space="preserve"> of </w:t>
      </w:r>
      <w:smartTag w:uri="urn:schemas-microsoft-com:office:smarttags" w:element="PlaceName">
        <w:r w:rsidR="00B62583" w:rsidRPr="00631DA8">
          <w:rPr>
            <w:spacing w:val="2"/>
          </w:rPr>
          <w:t>Letters</w:t>
        </w:r>
      </w:smartTag>
    </w:smartTag>
    <w:r w:rsidR="00B62583" w:rsidRPr="00631DA8">
      <w:rPr>
        <w:spacing w:val="2"/>
      </w:rPr>
      <w:t>, Arts, and Social Sciences (CLASS)</w:t>
    </w:r>
  </w:p>
  <w:p w:rsidR="00631DA8" w:rsidRPr="00631DA8" w:rsidRDefault="00631DA8" w:rsidP="00631DA8">
    <w:pPr>
      <w:ind w:left="3960"/>
      <w:rPr>
        <w:spacing w:val="15"/>
        <w:kern w:val="16"/>
        <w:sz w:val="16"/>
      </w:rPr>
    </w:pPr>
    <w:r w:rsidRPr="00631DA8">
      <w:rPr>
        <w:spacing w:val="15"/>
        <w:kern w:val="16"/>
        <w:sz w:val="16"/>
      </w:rPr>
      <w:t xml:space="preserve">Music and </w:t>
    </w:r>
    <w:smartTag w:uri="urn:schemas-microsoft-com:office:smarttags" w:element="place">
      <w:smartTag w:uri="urn:schemas-microsoft-com:office:smarttags" w:element="PlaceName">
        <w:r w:rsidRPr="00631DA8">
          <w:rPr>
            <w:spacing w:val="15"/>
            <w:kern w:val="16"/>
            <w:sz w:val="16"/>
          </w:rPr>
          <w:t>Business</w:t>
        </w:r>
      </w:smartTag>
      <w:r w:rsidRPr="00631DA8">
        <w:rPr>
          <w:spacing w:val="15"/>
          <w:kern w:val="16"/>
          <w:sz w:val="16"/>
        </w:rPr>
        <w:t xml:space="preserve"> </w:t>
      </w:r>
      <w:smartTag w:uri="urn:schemas-microsoft-com:office:smarttags" w:element="PlaceType">
        <w:r w:rsidRPr="00631DA8">
          <w:rPr>
            <w:spacing w:val="15"/>
            <w:kern w:val="16"/>
            <w:sz w:val="16"/>
          </w:rPr>
          <w:t>Building</w:t>
        </w:r>
      </w:smartTag>
    </w:smartTag>
    <w:r w:rsidRPr="00631DA8">
      <w:rPr>
        <w:spacing w:val="15"/>
        <w:kern w:val="16"/>
        <w:sz w:val="16"/>
      </w:rPr>
      <w:t>, 1501</w:t>
    </w:r>
  </w:p>
  <w:p w:rsidR="00631DA8" w:rsidRPr="00631DA8" w:rsidRDefault="00631DA8" w:rsidP="00631DA8">
    <w:pPr>
      <w:ind w:left="3960"/>
      <w:rPr>
        <w:spacing w:val="10"/>
        <w:kern w:val="16"/>
        <w:sz w:val="16"/>
      </w:rPr>
    </w:pPr>
    <w:smartTag w:uri="urn:schemas-microsoft-com:office:smarttags" w:element="address">
      <w:smartTag w:uri="urn:schemas-microsoft-com:office:smarttags" w:element="Street">
        <w:r w:rsidRPr="00631DA8">
          <w:rPr>
            <w:spacing w:val="15"/>
            <w:kern w:val="16"/>
            <w:sz w:val="16"/>
          </w:rPr>
          <w:t>25800 Carlos Bee Boulevard</w:t>
        </w:r>
      </w:smartTag>
      <w:r w:rsidRPr="00631DA8">
        <w:rPr>
          <w:spacing w:val="15"/>
          <w:kern w:val="16"/>
          <w:sz w:val="16"/>
        </w:rPr>
        <w:t xml:space="preserve">,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w:t>
      </w:r>
      <w:smartTag w:uri="urn:schemas-microsoft-com:office:smarttags" w:element="PostalCode">
        <w:r w:rsidRPr="00631DA8">
          <w:rPr>
            <w:spacing w:val="10"/>
            <w:kern w:val="16"/>
            <w:sz w:val="16"/>
          </w:rPr>
          <w:t>94542-3014</w:t>
        </w:r>
      </w:smartTag>
    </w:smartTag>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2152B"/>
    <w:rsid w:val="00030FE2"/>
    <w:rsid w:val="00045BEA"/>
    <w:rsid w:val="00054BB6"/>
    <w:rsid w:val="000C2252"/>
    <w:rsid w:val="000E3C41"/>
    <w:rsid w:val="000E5FDD"/>
    <w:rsid w:val="000E7C20"/>
    <w:rsid w:val="00153739"/>
    <w:rsid w:val="0018016C"/>
    <w:rsid w:val="00192DA5"/>
    <w:rsid w:val="001C6EC3"/>
    <w:rsid w:val="0020471A"/>
    <w:rsid w:val="002263B8"/>
    <w:rsid w:val="00230B15"/>
    <w:rsid w:val="002816C6"/>
    <w:rsid w:val="002B5DF5"/>
    <w:rsid w:val="002C06E7"/>
    <w:rsid w:val="002D5F20"/>
    <w:rsid w:val="0030126F"/>
    <w:rsid w:val="00356E92"/>
    <w:rsid w:val="003A09C7"/>
    <w:rsid w:val="003E4267"/>
    <w:rsid w:val="003E6D15"/>
    <w:rsid w:val="00423F9B"/>
    <w:rsid w:val="0042574D"/>
    <w:rsid w:val="004924EB"/>
    <w:rsid w:val="004A3000"/>
    <w:rsid w:val="004A45CF"/>
    <w:rsid w:val="004B42E5"/>
    <w:rsid w:val="004F239A"/>
    <w:rsid w:val="0050037B"/>
    <w:rsid w:val="005011BE"/>
    <w:rsid w:val="005039B0"/>
    <w:rsid w:val="005A3A3A"/>
    <w:rsid w:val="005C33BA"/>
    <w:rsid w:val="005D756D"/>
    <w:rsid w:val="00600A9F"/>
    <w:rsid w:val="00614646"/>
    <w:rsid w:val="00631DA8"/>
    <w:rsid w:val="00663851"/>
    <w:rsid w:val="00686478"/>
    <w:rsid w:val="006A56EE"/>
    <w:rsid w:val="006D384F"/>
    <w:rsid w:val="00725601"/>
    <w:rsid w:val="0077525D"/>
    <w:rsid w:val="007958DA"/>
    <w:rsid w:val="007975D9"/>
    <w:rsid w:val="007A55FE"/>
    <w:rsid w:val="007C5C77"/>
    <w:rsid w:val="007C6E3A"/>
    <w:rsid w:val="007D1613"/>
    <w:rsid w:val="00841184"/>
    <w:rsid w:val="00843763"/>
    <w:rsid w:val="008878C6"/>
    <w:rsid w:val="00895F2D"/>
    <w:rsid w:val="008B3FB1"/>
    <w:rsid w:val="008B7EB9"/>
    <w:rsid w:val="008C468B"/>
    <w:rsid w:val="008D5BFF"/>
    <w:rsid w:val="008E168C"/>
    <w:rsid w:val="00931E34"/>
    <w:rsid w:val="009653DB"/>
    <w:rsid w:val="009A24CE"/>
    <w:rsid w:val="009B2CFC"/>
    <w:rsid w:val="009E7EED"/>
    <w:rsid w:val="00A107C5"/>
    <w:rsid w:val="00A228F6"/>
    <w:rsid w:val="00A76A4E"/>
    <w:rsid w:val="00A803DC"/>
    <w:rsid w:val="00A85546"/>
    <w:rsid w:val="00AF0DB3"/>
    <w:rsid w:val="00B132C9"/>
    <w:rsid w:val="00B36FBE"/>
    <w:rsid w:val="00B62583"/>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733C"/>
    <w:rsid w:val="00E81EE8"/>
    <w:rsid w:val="00E96889"/>
    <w:rsid w:val="00EA3D0B"/>
    <w:rsid w:val="00EC41A0"/>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DA2D3B" w:rsidRDefault="00DA2D3B"/>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DA2D3B"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DA2D3B"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DA2D3B"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DA2D3B"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1A83"/>
    <w:rsid w:val="005C05FE"/>
    <w:rsid w:val="005F6BE1"/>
    <w:rsid w:val="008E2B9B"/>
    <w:rsid w:val="009D7B05"/>
    <w:rsid w:val="009E1A83"/>
    <w:rsid w:val="00C96B7B"/>
    <w:rsid w:val="00DA2D3B"/>
    <w:rsid w:val="00FA64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E372-6C88-4A62-A8B4-BB9D483E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2014-05-31T20:16:00Z</dcterms:created>
  <dcterms:modified xsi:type="dcterms:W3CDTF">2014-05-31T20:16:00Z</dcterms:modified>
</cp:coreProperties>
</file>