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B1DA3" w14:textId="77777777" w:rsidR="007A55FE" w:rsidRPr="0042574D" w:rsidRDefault="007A55FE" w:rsidP="007A55FE">
      <w:pPr>
        <w:jc w:val="center"/>
        <w:rPr>
          <w:b/>
          <w:u w:val="single"/>
        </w:rPr>
      </w:pPr>
      <w:r w:rsidRPr="0042574D">
        <w:rPr>
          <w:b/>
          <w:u w:val="single"/>
        </w:rPr>
        <w:t>2012-2013 CLASS FACT Assessment Year End Report, June, 2013</w:t>
      </w:r>
    </w:p>
    <w:p w14:paraId="205CD1A1" w14:textId="77777777"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14:paraId="47C176E0" w14:textId="77777777" w:rsidTr="007A55FE">
        <w:tc>
          <w:tcPr>
            <w:tcW w:w="3192" w:type="dxa"/>
          </w:tcPr>
          <w:p w14:paraId="23E2D80B" w14:textId="77777777" w:rsidR="007A55FE" w:rsidRDefault="007A55FE" w:rsidP="007A55FE">
            <w:pPr>
              <w:jc w:val="center"/>
              <w:rPr>
                <w:b/>
              </w:rPr>
            </w:pPr>
            <w:r>
              <w:rPr>
                <w:b/>
              </w:rPr>
              <w:t>Program Name(s)</w:t>
            </w:r>
          </w:p>
        </w:tc>
        <w:tc>
          <w:tcPr>
            <w:tcW w:w="3192" w:type="dxa"/>
          </w:tcPr>
          <w:p w14:paraId="5086ED92" w14:textId="77777777" w:rsidR="007A55FE" w:rsidRDefault="007A55FE" w:rsidP="007A55FE">
            <w:pPr>
              <w:jc w:val="center"/>
              <w:rPr>
                <w:b/>
              </w:rPr>
            </w:pPr>
            <w:r>
              <w:rPr>
                <w:b/>
              </w:rPr>
              <w:t>FACT Faculty Fellow</w:t>
            </w:r>
          </w:p>
        </w:tc>
        <w:tc>
          <w:tcPr>
            <w:tcW w:w="3192" w:type="dxa"/>
          </w:tcPr>
          <w:p w14:paraId="6354D021" w14:textId="77777777" w:rsidR="007A55FE" w:rsidRDefault="007A55FE" w:rsidP="007A55FE">
            <w:pPr>
              <w:jc w:val="center"/>
              <w:rPr>
                <w:b/>
              </w:rPr>
            </w:pPr>
            <w:r>
              <w:rPr>
                <w:b/>
              </w:rPr>
              <w:t>Department Chair</w:t>
            </w:r>
          </w:p>
        </w:tc>
      </w:tr>
      <w:tr w:rsidR="007A55FE" w14:paraId="1E7246FC" w14:textId="77777777" w:rsidTr="007A55FE">
        <w:tc>
          <w:tcPr>
            <w:tcW w:w="3192" w:type="dxa"/>
          </w:tcPr>
          <w:p w14:paraId="63FA5700" w14:textId="115C3ACD" w:rsidR="007A55FE" w:rsidRDefault="002F1EBC" w:rsidP="007A55FE">
            <w:pPr>
              <w:jc w:val="center"/>
              <w:rPr>
                <w:b/>
              </w:rPr>
            </w:pPr>
            <w:r>
              <w:rPr>
                <w:b/>
              </w:rPr>
              <w:t>Sociology</w:t>
            </w:r>
            <w:r w:rsidR="00C548F2">
              <w:rPr>
                <w:b/>
              </w:rPr>
              <w:t xml:space="preserve"> B.A.</w:t>
            </w:r>
          </w:p>
        </w:tc>
        <w:tc>
          <w:tcPr>
            <w:tcW w:w="3192" w:type="dxa"/>
          </w:tcPr>
          <w:p w14:paraId="15E87CDC" w14:textId="57429698" w:rsidR="007A55FE" w:rsidRDefault="00621B09" w:rsidP="007A55FE">
            <w:pPr>
              <w:jc w:val="center"/>
              <w:rPr>
                <w:b/>
              </w:rPr>
            </w:pPr>
            <w:r>
              <w:rPr>
                <w:b/>
              </w:rPr>
              <w:t>Holly Vugia</w:t>
            </w:r>
          </w:p>
        </w:tc>
        <w:tc>
          <w:tcPr>
            <w:tcW w:w="3192" w:type="dxa"/>
          </w:tcPr>
          <w:p w14:paraId="130ABFF1" w14:textId="696A283A" w:rsidR="007A55FE" w:rsidRDefault="002F1EBC" w:rsidP="007A55FE">
            <w:pPr>
              <w:jc w:val="center"/>
              <w:rPr>
                <w:b/>
              </w:rPr>
            </w:pPr>
            <w:r>
              <w:rPr>
                <w:b/>
              </w:rPr>
              <w:t>Patricia Jennings</w:t>
            </w:r>
          </w:p>
        </w:tc>
      </w:tr>
    </w:tbl>
    <w:p w14:paraId="211A017F" w14:textId="77777777" w:rsidR="007A55FE" w:rsidRDefault="007A55FE" w:rsidP="007A55FE">
      <w:pPr>
        <w:jc w:val="center"/>
        <w:rPr>
          <w:b/>
        </w:rPr>
      </w:pPr>
    </w:p>
    <w:p w14:paraId="7DB837B4" w14:textId="77777777" w:rsidR="007A55FE" w:rsidRDefault="007C6E3A" w:rsidP="007C6E3A">
      <w:r>
        <w:t>[NOTE: Items A, B, C, and D are identical to your Page 2 on your Annual Report for CAPR.  Please simply cut and paste from there. Item E is unique to the CLASS FACT Project.]</w:t>
      </w:r>
    </w:p>
    <w:p w14:paraId="1F3DFB0A" w14:textId="77777777" w:rsidR="007C6E3A" w:rsidRPr="00BE6F18" w:rsidRDefault="007C6E3A" w:rsidP="007C6E3A"/>
    <w:p w14:paraId="27D471D8" w14:textId="77777777" w:rsidR="007A55FE" w:rsidRPr="005820AA" w:rsidRDefault="007A55FE" w:rsidP="007A55FE">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7A55FE" w:rsidRPr="00C837E6" w14:paraId="5EDBDD5C" w14:textId="77777777" w:rsidTr="00C548F2">
        <w:sdt>
          <w:sdtPr>
            <w:id w:val="-183283676"/>
            <w:placeholder>
              <w:docPart w:val="BF7CDE2D3A4743ECA9D1A581731CA6FC"/>
            </w:placeholder>
            <w:text w:multiLine="1"/>
          </w:sdtPr>
          <w:sdtEndPr/>
          <w:sdtContent>
            <w:tc>
              <w:tcPr>
                <w:tcW w:w="9576" w:type="dxa"/>
              </w:tcPr>
              <w:p w14:paraId="63F23B5A" w14:textId="40080923" w:rsidR="007A55FE" w:rsidRPr="00C548F2" w:rsidRDefault="00CE48F1" w:rsidP="00CE48F1">
                <w:pPr>
                  <w:tabs>
                    <w:tab w:val="left" w:pos="360"/>
                  </w:tabs>
                  <w:rPr>
                    <w:rFonts w:ascii="Adobe Garamond Pro" w:eastAsia="ヒラギノ角ゴ Pro W3" w:hAnsi="Adobe Garamond Pro"/>
                    <w:color w:val="000000"/>
                    <w:szCs w:val="20"/>
                  </w:rPr>
                </w:pPr>
                <w:r w:rsidRPr="00CE48F1">
                  <w:t xml:space="preserve">Students graduating with a B.A. in Sociology from Cal State East Bay will </w:t>
                </w:r>
                <w:r w:rsidRPr="00CE48F1">
                  <w:br/>
                  <w:t>1.</w:t>
                </w:r>
                <w:r w:rsidRPr="00CE48F1">
                  <w:tab/>
                </w:r>
                <w:proofErr w:type="gramStart"/>
                <w:r w:rsidRPr="00CE48F1">
                  <w:t>read</w:t>
                </w:r>
                <w:proofErr w:type="gramEnd"/>
                <w:r w:rsidRPr="00CE48F1">
                  <w:t xml:space="preserve"> and understand academic studies on, and critically analyze cultural representations of,  populations subordinated by race/ethnicity, social class, gender and sexuality</w:t>
                </w:r>
                <w:r>
                  <w:t>;</w:t>
                </w:r>
                <w:r w:rsidRPr="00CE48F1">
                  <w:br/>
                  <w:t>2.</w:t>
                </w:r>
                <w:r w:rsidRPr="00CE48F1">
                  <w:tab/>
                  <w:t>critically examine the veracity of “truth claims” by developing an understanding, identification, and application of appropriate:  1.) methods of data collection; 2.) sampling methods; and, 3.) statistical tests for testing simple hypotheses (quantitative data analysis</w:t>
                </w:r>
                <w:r>
                  <w:t>)</w:t>
                </w:r>
                <w:proofErr w:type="gramStart"/>
                <w:r w:rsidRPr="00CE48F1">
                  <w:t>;</w:t>
                </w:r>
                <w:proofErr w:type="gramEnd"/>
                <w:r w:rsidRPr="00CE48F1">
                  <w:br/>
                  <w:t>3.</w:t>
                </w:r>
                <w:r w:rsidRPr="00CE48F1">
                  <w:tab/>
                  <w:t xml:space="preserve">demonstrate an ability to work collaboratively with community partners through internship placements in local social service agencies that are overseen by social service professionals [for Social Service Option]; and </w:t>
                </w:r>
                <w:r w:rsidRPr="00CE48F1">
                  <w:br/>
                  <w:t>4.</w:t>
                </w:r>
                <w:r w:rsidRPr="00CE48F1">
                  <w:tab/>
                  <w:t>read, interpret, integrate and synthesize abstract sociological arguments and theories.</w:t>
                </w:r>
              </w:p>
            </w:tc>
          </w:sdtContent>
        </w:sdt>
      </w:tr>
    </w:tbl>
    <w:p w14:paraId="33C80151" w14:textId="77777777" w:rsidR="007A55FE" w:rsidRDefault="007A55FE" w:rsidP="007A55FE">
      <w:pPr>
        <w:rPr>
          <w:b/>
          <w:u w:val="single"/>
        </w:rPr>
      </w:pPr>
    </w:p>
    <w:p w14:paraId="1AE753AC" w14:textId="77777777" w:rsidR="007A55FE" w:rsidRPr="005820AA" w:rsidRDefault="007A55FE" w:rsidP="007A55FE">
      <w:pPr>
        <w:rPr>
          <w:b/>
        </w:rPr>
      </w:pPr>
      <w:r w:rsidRPr="005820AA">
        <w:rPr>
          <w:b/>
        </w:rPr>
        <w:t>B. Program Student Learning Outcome(s)</w:t>
      </w:r>
      <w:r>
        <w:rPr>
          <w:b/>
        </w:rPr>
        <w:t xml:space="preserve"> A</w:t>
      </w:r>
      <w:r w:rsidRPr="005820AA">
        <w:rPr>
          <w:b/>
        </w:rPr>
        <w:t>ssessed</w:t>
      </w:r>
    </w:p>
    <w:p w14:paraId="3781BFC2" w14:textId="77777777"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0F078D17" w14:textId="77777777" w:rsidTr="00C548F2">
        <w:sdt>
          <w:sdtPr>
            <w:id w:val="31195448"/>
            <w:placeholder>
              <w:docPart w:val="05AA48AB991A42FE91A8DA1D9FF79E73"/>
            </w:placeholder>
            <w:text w:multiLine="1"/>
          </w:sdtPr>
          <w:sdtEndPr/>
          <w:sdtContent>
            <w:tc>
              <w:tcPr>
                <w:tcW w:w="9576" w:type="dxa"/>
              </w:tcPr>
              <w:p w14:paraId="07A639E4" w14:textId="1A25C97C" w:rsidR="007A55FE" w:rsidRPr="00C837E6" w:rsidRDefault="00121FD9" w:rsidP="00121FD9">
                <w:pPr>
                  <w:rPr>
                    <w:rFonts w:ascii="Times New Roman" w:hAnsi="Times New Roman" w:cs="Times New Roman"/>
                  </w:rPr>
                </w:pPr>
                <w:r>
                  <w:t xml:space="preserve">SLO 3:  </w:t>
                </w:r>
                <w:r w:rsidRPr="005F73CC">
                  <w:t>demonstrate an ability to work collaboratively with community partners through internship placements in local social service agencies that are overseen by social service professionals</w:t>
                </w:r>
              </w:p>
            </w:tc>
          </w:sdtContent>
        </w:sdt>
      </w:tr>
    </w:tbl>
    <w:p w14:paraId="2FBC53BE" w14:textId="77777777" w:rsidR="007A55FE" w:rsidRPr="00F5782C" w:rsidRDefault="007A55FE" w:rsidP="007A55FE">
      <w:pPr>
        <w:pStyle w:val="ListParagraph"/>
        <w:spacing w:line="240" w:lineRule="auto"/>
        <w:rPr>
          <w:rFonts w:ascii="Times New Roman" w:hAnsi="Times New Roman" w:cs="Times New Roman"/>
          <w:sz w:val="24"/>
          <w:szCs w:val="24"/>
        </w:rPr>
      </w:pPr>
    </w:p>
    <w:p w14:paraId="66E57630" w14:textId="77777777" w:rsidR="007A55FE" w:rsidRPr="009F6483" w:rsidRDefault="007A55FE" w:rsidP="007A55FE">
      <w:pPr>
        <w:rPr>
          <w:b/>
        </w:rPr>
      </w:pPr>
      <w:r w:rsidRPr="009F6483">
        <w:rPr>
          <w:b/>
        </w:rPr>
        <w:t>C. Summary of Assessment Process</w:t>
      </w:r>
    </w:p>
    <w:p w14:paraId="0BF40B4C" w14:textId="77777777"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4B68EAFB" w14:textId="77777777" w:rsidTr="00C548F2">
        <w:sdt>
          <w:sdtPr>
            <w:id w:val="31195449"/>
            <w:placeholder>
              <w:docPart w:val="DAE059B2108C411C91B3B49F9B662F28"/>
            </w:placeholder>
            <w:text w:multiLine="1"/>
          </w:sdtPr>
          <w:sdtEndPr/>
          <w:sdtContent>
            <w:tc>
              <w:tcPr>
                <w:tcW w:w="9576" w:type="dxa"/>
              </w:tcPr>
              <w:p w14:paraId="2C621FC1" w14:textId="48661B13" w:rsidR="007A55FE" w:rsidRPr="00C837E6" w:rsidRDefault="00511877" w:rsidP="00511877">
                <w:pPr>
                  <w:rPr>
                    <w:rFonts w:ascii="Times New Roman" w:hAnsi="Times New Roman" w:cs="Times New Roman"/>
                  </w:rPr>
                </w:pPr>
                <w:r w:rsidRPr="00511877">
                  <w:t xml:space="preserve">Sixty-one (61) students </w:t>
                </w:r>
                <w:r>
                  <w:t xml:space="preserve">who completed the Social Services Option participated in the assessment.  These students were assigned to internship placements in community agencies and public schools in 5 local counties, as part of an Internship capstone course.  </w:t>
                </w:r>
                <w:r w:rsidR="009C39B7">
                  <w:t>Placements yielded 15,923 community service hours over winter and spring quarter.  Students served diverse populations in agencies that address a variety of social issues (e.g., at-risk youths, intimate partner violence).  C</w:t>
                </w:r>
                <w:r>
                  <w:t xml:space="preserve">ommunity field placement instructors served as evaluators based on the general outcome criterion.  A scale of 1 (least advance) – 4 (most advanced) was used for the evaluation.  The group mean for each of the 5 SLOs was calculated.  </w:t>
                </w:r>
              </w:p>
            </w:tc>
          </w:sdtContent>
        </w:sdt>
      </w:tr>
    </w:tbl>
    <w:p w14:paraId="3AEF4430" w14:textId="4D1D7C83" w:rsidR="007A55FE" w:rsidRPr="005820AA" w:rsidRDefault="007A55FE" w:rsidP="007A55FE">
      <w:r w:rsidRPr="009F6483">
        <w:rPr>
          <w:b/>
        </w:rPr>
        <w:lastRenderedPageBreak/>
        <w:t xml:space="preserve">D. Summary of Assessment Results </w:t>
      </w:r>
    </w:p>
    <w:p w14:paraId="0817B743" w14:textId="77777777"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3A3BE452" w14:textId="77777777" w:rsidTr="00C548F2">
        <w:sdt>
          <w:sdtPr>
            <w:rPr>
              <w:rFonts w:ascii="Arial Narrow" w:hAnsi="Arial Narrow"/>
              <w:bCs/>
              <w:sz w:val="18"/>
              <w:szCs w:val="18"/>
            </w:rPr>
            <w:id w:val="536932939"/>
            <w:placeholder>
              <w:docPart w:val="0ACF24298F3E416CAE4B0564F7C77AFE"/>
            </w:placeholder>
            <w:text w:multiLine="1"/>
          </w:sdtPr>
          <w:sdtEndPr/>
          <w:sdtContent>
            <w:tc>
              <w:tcPr>
                <w:tcW w:w="9576" w:type="dxa"/>
              </w:tcPr>
              <w:p w14:paraId="10DE464E" w14:textId="139C4B33" w:rsidR="007A55FE" w:rsidRPr="00C837E6" w:rsidRDefault="00CE48F1" w:rsidP="009B58F2">
                <w:pPr>
                  <w:rPr>
                    <w:rFonts w:ascii="Times New Roman" w:hAnsi="Times New Roman" w:cs="Times New Roman"/>
                  </w:rPr>
                </w:pPr>
                <w:r w:rsidRPr="00CE48F1">
                  <w:rPr>
                    <w:rFonts w:ascii="Arial Narrow" w:eastAsia="Times New Roman" w:hAnsi="Arial Narrow" w:cs="Times New Roman"/>
                    <w:bCs/>
                    <w:sz w:val="18"/>
                    <w:szCs w:val="18"/>
                  </w:rPr>
                  <w:t>I.   Data</w:t>
                </w:r>
                <w:r w:rsidRPr="00CE48F1">
                  <w:rPr>
                    <w:rFonts w:ascii="Arial Narrow" w:eastAsia="Times New Roman" w:hAnsi="Arial Narrow" w:cs="Times New Roman"/>
                    <w:bCs/>
                    <w:sz w:val="18"/>
                    <w:szCs w:val="18"/>
                  </w:rPr>
                  <w:br/>
                  <w:t>FINAL STUDENT EVALUATION RESULTS AS DETERMINED BY COMMUNITY FIELD INSTRUCTORS (n=61)</w:t>
                </w:r>
                <w:r w:rsidRPr="00CE48F1">
                  <w:rPr>
                    <w:rFonts w:ascii="Arial Narrow" w:eastAsia="Times New Roman" w:hAnsi="Arial Narrow" w:cs="Times New Roman"/>
                    <w:bCs/>
                    <w:sz w:val="18"/>
                    <w:szCs w:val="18"/>
                  </w:rPr>
                  <w:br/>
                </w:r>
                <w:r w:rsidRPr="00CE48F1">
                  <w:rPr>
                    <w:rFonts w:ascii="Arial Narrow" w:eastAsia="Times New Roman" w:hAnsi="Arial Narrow" w:cs="Times New Roman"/>
                    <w:bCs/>
                    <w:sz w:val="18"/>
                    <w:szCs w:val="18"/>
                  </w:rPr>
                  <w:tab/>
                  <w:t xml:space="preserve">Scale:  </w:t>
                </w:r>
                <w:r w:rsidRPr="00CE48F1">
                  <w:rPr>
                    <w:rFonts w:ascii="Arial Narrow" w:eastAsia="Times New Roman" w:hAnsi="Arial Narrow" w:cs="Times New Roman"/>
                    <w:bCs/>
                    <w:sz w:val="18"/>
                    <w:szCs w:val="18"/>
                  </w:rPr>
                  <w:tab/>
                  <w:t xml:space="preserve">1 = Area of Future Growth    </w:t>
                </w:r>
                <w:r w:rsidRPr="00CE48F1">
                  <w:rPr>
                    <w:rFonts w:ascii="Arial Narrow" w:eastAsia="Times New Roman" w:hAnsi="Arial Narrow" w:cs="Times New Roman"/>
                    <w:bCs/>
                    <w:sz w:val="18"/>
                    <w:szCs w:val="18"/>
                  </w:rPr>
                  <w:br/>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t xml:space="preserve">2 = Demonstrates Emerging Skill    </w:t>
                </w:r>
                <w:r w:rsidRPr="00CE48F1">
                  <w:rPr>
                    <w:rFonts w:ascii="Arial Narrow" w:eastAsia="Times New Roman" w:hAnsi="Arial Narrow" w:cs="Times New Roman"/>
                    <w:bCs/>
                    <w:sz w:val="18"/>
                    <w:szCs w:val="18"/>
                  </w:rPr>
                  <w:br/>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t xml:space="preserve">3 = Demonstrates Skill  </w:t>
                </w:r>
                <w:r w:rsidRPr="00CE48F1">
                  <w:rPr>
                    <w:rFonts w:ascii="Arial Narrow" w:eastAsia="Times New Roman" w:hAnsi="Arial Narrow" w:cs="Times New Roman"/>
                    <w:bCs/>
                    <w:sz w:val="18"/>
                    <w:szCs w:val="18"/>
                  </w:rPr>
                  <w:br/>
                  <w:t xml:space="preserve"> </w:t>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t>4= Consistently Demonstrates Advanced Accomplishment</w:t>
                </w:r>
                <w:r w:rsidRPr="00CE48F1">
                  <w:rPr>
                    <w:rFonts w:ascii="Arial Narrow" w:eastAsia="Times New Roman" w:hAnsi="Arial Narrow" w:cs="Times New Roman"/>
                    <w:bCs/>
                    <w:sz w:val="18"/>
                    <w:szCs w:val="18"/>
                  </w:rPr>
                  <w:br/>
                </w:r>
                <w:r w:rsidRPr="00CE48F1">
                  <w:rPr>
                    <w:rFonts w:ascii="Arial Narrow" w:eastAsia="Times New Roman" w:hAnsi="Arial Narrow" w:cs="Times New Roman"/>
                    <w:bCs/>
                    <w:sz w:val="18"/>
                    <w:szCs w:val="18"/>
                  </w:rPr>
                  <w:br/>
                  <w:t>General Evaluation Criterion</w:t>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r>
                <w:r>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Target Skill</w:t>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t>2012-2013</w:t>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t>2011-2012</w:t>
                </w:r>
                <w:r w:rsidRPr="00CE48F1">
                  <w:rPr>
                    <w:rFonts w:ascii="Arial Narrow" w:eastAsia="Times New Roman" w:hAnsi="Arial Narrow" w:cs="Times New Roman"/>
                    <w:bCs/>
                    <w:sz w:val="18"/>
                    <w:szCs w:val="18"/>
                  </w:rPr>
                  <w:br/>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r>
                <w:r>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 xml:space="preserve">Mean </w:t>
                </w:r>
                <w:r w:rsidRPr="00CE48F1">
                  <w:rPr>
                    <w:rFonts w:ascii="Arial Narrow" w:eastAsia="Times New Roman" w:hAnsi="Arial Narrow" w:cs="Times New Roman"/>
                    <w:bCs/>
                    <w:sz w:val="18"/>
                    <w:szCs w:val="18"/>
                  </w:rPr>
                  <w:tab/>
                  <w:t>Mode</w:t>
                </w:r>
                <w:r w:rsidRPr="00CE48F1">
                  <w:rPr>
                    <w:rFonts w:ascii="Arial Narrow" w:eastAsia="Times New Roman" w:hAnsi="Arial Narrow" w:cs="Times New Roman"/>
                    <w:bCs/>
                    <w:sz w:val="18"/>
                    <w:szCs w:val="18"/>
                  </w:rPr>
                  <w:tab/>
                  <w:t xml:space="preserve">Mean </w:t>
                </w:r>
                <w:r w:rsidRPr="00CE48F1">
                  <w:rPr>
                    <w:rFonts w:ascii="Arial Narrow" w:eastAsia="Times New Roman" w:hAnsi="Arial Narrow" w:cs="Times New Roman"/>
                    <w:bCs/>
                    <w:sz w:val="18"/>
                    <w:szCs w:val="18"/>
                  </w:rPr>
                  <w:tab/>
                  <w:t>Mode</w:t>
                </w:r>
                <w:r w:rsidRPr="00CE48F1">
                  <w:rPr>
                    <w:rFonts w:ascii="Arial Narrow" w:eastAsia="Times New Roman" w:hAnsi="Arial Narrow" w:cs="Times New Roman"/>
                    <w:bCs/>
                    <w:sz w:val="18"/>
                    <w:szCs w:val="18"/>
                  </w:rPr>
                  <w:br/>
                  <w:t xml:space="preserve">The ability to form professional relationships </w:t>
                </w:r>
                <w:r w:rsidRPr="00CE48F1">
                  <w:rPr>
                    <w:rFonts w:ascii="Arial Narrow" w:eastAsia="Times New Roman" w:hAnsi="Arial Narrow" w:cs="Times New Roman"/>
                    <w:bCs/>
                    <w:sz w:val="18"/>
                    <w:szCs w:val="18"/>
                  </w:rPr>
                  <w:tab/>
                  <w:t>relationships/diversity</w:t>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t>3.56</w:t>
                </w:r>
                <w:r w:rsidRPr="00CE48F1">
                  <w:rPr>
                    <w:rFonts w:ascii="Arial Narrow" w:eastAsia="Times New Roman" w:hAnsi="Arial Narrow" w:cs="Times New Roman"/>
                    <w:bCs/>
                    <w:sz w:val="18"/>
                    <w:szCs w:val="18"/>
                  </w:rPr>
                  <w:tab/>
                  <w:t>4</w:t>
                </w:r>
                <w:r w:rsidRPr="00CE48F1">
                  <w:rPr>
                    <w:rFonts w:ascii="Arial Narrow" w:eastAsia="Times New Roman" w:hAnsi="Arial Narrow" w:cs="Times New Roman"/>
                    <w:bCs/>
                    <w:sz w:val="18"/>
                    <w:szCs w:val="18"/>
                  </w:rPr>
                  <w:tab/>
                  <w:t>3.55</w:t>
                </w:r>
                <w:r w:rsidRPr="00CE48F1">
                  <w:rPr>
                    <w:rFonts w:ascii="Arial Narrow" w:eastAsia="Times New Roman" w:hAnsi="Arial Narrow" w:cs="Times New Roman"/>
                    <w:bCs/>
                    <w:sz w:val="18"/>
                    <w:szCs w:val="18"/>
                  </w:rPr>
                  <w:tab/>
                  <w:t>4</w:t>
                </w:r>
                <w:r w:rsidRPr="00CE48F1">
                  <w:rPr>
                    <w:rFonts w:ascii="Arial Narrow" w:eastAsia="Times New Roman" w:hAnsi="Arial Narrow" w:cs="Times New Roman"/>
                    <w:bCs/>
                    <w:sz w:val="18"/>
                    <w:szCs w:val="18"/>
                  </w:rPr>
                  <w:br/>
                  <w:t>with diverse individuals, groups, and communities</w:t>
                </w:r>
                <w:r w:rsidRPr="00CE48F1">
                  <w:rPr>
                    <w:rFonts w:ascii="Arial Narrow" w:eastAsia="Times New Roman" w:hAnsi="Arial Narrow" w:cs="Times New Roman"/>
                    <w:bCs/>
                    <w:sz w:val="18"/>
                    <w:szCs w:val="18"/>
                  </w:rPr>
                  <w:br/>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br/>
                  <w:t>The ability to effectively communicate in</w:t>
                </w:r>
                <w:r w:rsidRPr="00CE48F1">
                  <w:rPr>
                    <w:rFonts w:ascii="Arial Narrow" w:eastAsia="Times New Roman" w:hAnsi="Arial Narrow" w:cs="Times New Roman"/>
                    <w:bCs/>
                    <w:sz w:val="18"/>
                    <w:szCs w:val="18"/>
                  </w:rPr>
                  <w:tab/>
                </w:r>
                <w:r w:rsidR="009B58F2">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communication</w:t>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t>3.49</w:t>
                </w:r>
                <w:r w:rsidRPr="00CE48F1">
                  <w:rPr>
                    <w:rFonts w:ascii="Arial Narrow" w:eastAsia="Times New Roman" w:hAnsi="Arial Narrow" w:cs="Times New Roman"/>
                    <w:bCs/>
                    <w:sz w:val="18"/>
                    <w:szCs w:val="18"/>
                  </w:rPr>
                  <w:tab/>
                  <w:t>4</w:t>
                </w:r>
                <w:r w:rsidRPr="00CE48F1">
                  <w:rPr>
                    <w:rFonts w:ascii="Arial Narrow" w:eastAsia="Times New Roman" w:hAnsi="Arial Narrow" w:cs="Times New Roman"/>
                    <w:bCs/>
                    <w:sz w:val="18"/>
                    <w:szCs w:val="18"/>
                  </w:rPr>
                  <w:tab/>
                  <w:t>3.29</w:t>
                </w:r>
                <w:r w:rsidRPr="00CE48F1">
                  <w:rPr>
                    <w:rFonts w:ascii="Arial Narrow" w:eastAsia="Times New Roman" w:hAnsi="Arial Narrow" w:cs="Times New Roman"/>
                    <w:bCs/>
                    <w:sz w:val="18"/>
                    <w:szCs w:val="18"/>
                  </w:rPr>
                  <w:tab/>
                  <w:t>4</w:t>
                </w:r>
                <w:r w:rsidRPr="00CE48F1">
                  <w:rPr>
                    <w:rFonts w:ascii="Arial Narrow" w:eastAsia="Times New Roman" w:hAnsi="Arial Narrow" w:cs="Times New Roman"/>
                    <w:bCs/>
                    <w:sz w:val="18"/>
                    <w:szCs w:val="18"/>
                  </w:rPr>
                  <w:br/>
                  <w:t>both oral and written form.</w:t>
                </w:r>
                <w:r w:rsidRPr="00CE48F1">
                  <w:rPr>
                    <w:rFonts w:ascii="Arial Narrow" w:eastAsia="Times New Roman" w:hAnsi="Arial Narrow" w:cs="Times New Roman"/>
                    <w:bCs/>
                    <w:sz w:val="18"/>
                    <w:szCs w:val="18"/>
                  </w:rPr>
                  <w:br/>
                </w:r>
                <w:r w:rsidRPr="00CE48F1">
                  <w:rPr>
                    <w:rFonts w:ascii="Arial Narrow" w:eastAsia="Times New Roman" w:hAnsi="Arial Narrow" w:cs="Times New Roman"/>
                    <w:bCs/>
                    <w:sz w:val="18"/>
                    <w:szCs w:val="18"/>
                  </w:rPr>
                  <w:br/>
                  <w:t>The ability to demonstrate professional</w:t>
                </w:r>
                <w:r w:rsidRPr="00CE48F1">
                  <w:rPr>
                    <w:rFonts w:ascii="Arial Narrow" w:eastAsia="Times New Roman" w:hAnsi="Arial Narrow" w:cs="Times New Roman"/>
                    <w:bCs/>
                    <w:sz w:val="18"/>
                    <w:szCs w:val="18"/>
                  </w:rPr>
                  <w:tab/>
                </w:r>
                <w:r w:rsidR="009B58F2">
                  <w:rPr>
                    <w:rFonts w:ascii="Arial Narrow" w:eastAsia="Times New Roman" w:hAnsi="Arial Narrow" w:cs="Times New Roman"/>
                    <w:bCs/>
                    <w:sz w:val="18"/>
                    <w:szCs w:val="18"/>
                  </w:rPr>
                  <w:tab/>
                  <w:t xml:space="preserve">professional </w:t>
                </w:r>
                <w:r w:rsidRPr="00CE48F1">
                  <w:rPr>
                    <w:rFonts w:ascii="Arial Narrow" w:eastAsia="Times New Roman" w:hAnsi="Arial Narrow" w:cs="Times New Roman"/>
                    <w:bCs/>
                    <w:sz w:val="18"/>
                    <w:szCs w:val="18"/>
                  </w:rPr>
                  <w:t>comportment</w:t>
                </w:r>
                <w:r w:rsidRPr="00CE48F1">
                  <w:rPr>
                    <w:rFonts w:ascii="Arial Narrow" w:eastAsia="Times New Roman" w:hAnsi="Arial Narrow" w:cs="Times New Roman"/>
                    <w:bCs/>
                    <w:sz w:val="18"/>
                    <w:szCs w:val="18"/>
                  </w:rPr>
                  <w:tab/>
                  <w:t>3.61</w:t>
                </w:r>
                <w:r w:rsidRPr="00CE48F1">
                  <w:rPr>
                    <w:rFonts w:ascii="Arial Narrow" w:eastAsia="Times New Roman" w:hAnsi="Arial Narrow" w:cs="Times New Roman"/>
                    <w:bCs/>
                    <w:sz w:val="18"/>
                    <w:szCs w:val="18"/>
                  </w:rPr>
                  <w:tab/>
                  <w:t>4</w:t>
                </w:r>
                <w:r w:rsidRPr="00CE48F1">
                  <w:rPr>
                    <w:rFonts w:ascii="Arial Narrow" w:eastAsia="Times New Roman" w:hAnsi="Arial Narrow" w:cs="Times New Roman"/>
                    <w:bCs/>
                    <w:sz w:val="18"/>
                    <w:szCs w:val="18"/>
                  </w:rPr>
                  <w:tab/>
                  <w:t>3.57</w:t>
                </w:r>
                <w:r w:rsidRPr="00CE48F1">
                  <w:rPr>
                    <w:rFonts w:ascii="Arial Narrow" w:eastAsia="Times New Roman" w:hAnsi="Arial Narrow" w:cs="Times New Roman"/>
                    <w:bCs/>
                    <w:sz w:val="18"/>
                    <w:szCs w:val="18"/>
                  </w:rPr>
                  <w:tab/>
                  <w:t>4</w:t>
                </w:r>
                <w:r w:rsidRPr="00CE48F1">
                  <w:rPr>
                    <w:rFonts w:ascii="Arial Narrow" w:eastAsia="Times New Roman" w:hAnsi="Arial Narrow" w:cs="Times New Roman"/>
                    <w:bCs/>
                    <w:sz w:val="18"/>
                    <w:szCs w:val="18"/>
                  </w:rPr>
                  <w:br/>
                  <w:t>behavior and attitudes.</w:t>
                </w:r>
                <w:r w:rsidRPr="00CE48F1">
                  <w:rPr>
                    <w:rFonts w:ascii="Arial Narrow" w:eastAsia="Times New Roman" w:hAnsi="Arial Narrow" w:cs="Times New Roman"/>
                    <w:bCs/>
                    <w:sz w:val="18"/>
                    <w:szCs w:val="18"/>
                  </w:rPr>
                  <w:br/>
                </w:r>
                <w:r w:rsidRPr="00CE48F1">
                  <w:rPr>
                    <w:rFonts w:ascii="Arial Narrow" w:eastAsia="Times New Roman" w:hAnsi="Arial Narrow" w:cs="Times New Roman"/>
                    <w:bCs/>
                    <w:sz w:val="18"/>
                    <w:szCs w:val="18"/>
                  </w:rPr>
                  <w:br/>
                  <w:t xml:space="preserve">The ability to make appropriate use of agency </w:t>
                </w:r>
                <w:r w:rsidRPr="00CE48F1">
                  <w:rPr>
                    <w:rFonts w:ascii="Arial Narrow" w:eastAsia="Times New Roman" w:hAnsi="Arial Narrow" w:cs="Times New Roman"/>
                    <w:bCs/>
                    <w:sz w:val="18"/>
                    <w:szCs w:val="18"/>
                  </w:rPr>
                  <w:tab/>
                  <w:t>interventions</w:t>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t>3.43</w:t>
                </w:r>
                <w:r w:rsidRPr="00CE48F1">
                  <w:rPr>
                    <w:rFonts w:ascii="Arial Narrow" w:eastAsia="Times New Roman" w:hAnsi="Arial Narrow" w:cs="Times New Roman"/>
                    <w:bCs/>
                    <w:sz w:val="18"/>
                    <w:szCs w:val="18"/>
                  </w:rPr>
                  <w:tab/>
                  <w:t>4</w:t>
                </w:r>
                <w:r w:rsidRPr="00CE48F1">
                  <w:rPr>
                    <w:rFonts w:ascii="Arial Narrow" w:eastAsia="Times New Roman" w:hAnsi="Arial Narrow" w:cs="Times New Roman"/>
                    <w:bCs/>
                    <w:sz w:val="18"/>
                    <w:szCs w:val="18"/>
                  </w:rPr>
                  <w:tab/>
                  <w:t>3.51</w:t>
                </w:r>
                <w:r w:rsidRPr="00CE48F1">
                  <w:rPr>
                    <w:rFonts w:ascii="Arial Narrow" w:eastAsia="Times New Roman" w:hAnsi="Arial Narrow" w:cs="Times New Roman"/>
                    <w:bCs/>
                    <w:sz w:val="18"/>
                    <w:szCs w:val="18"/>
                  </w:rPr>
                  <w:tab/>
                  <w:t>3</w:t>
                </w:r>
                <w:r w:rsidRPr="00CE48F1">
                  <w:rPr>
                    <w:rFonts w:ascii="Arial Narrow" w:eastAsia="Times New Roman" w:hAnsi="Arial Narrow" w:cs="Times New Roman"/>
                    <w:bCs/>
                    <w:sz w:val="18"/>
                    <w:szCs w:val="18"/>
                  </w:rPr>
                  <w:br/>
                  <w:t xml:space="preserve">resources/staff in planning and implementing </w:t>
                </w:r>
                <w:r w:rsidRPr="00CE48F1">
                  <w:rPr>
                    <w:rFonts w:ascii="Arial Narrow" w:eastAsia="Times New Roman" w:hAnsi="Arial Narrow" w:cs="Times New Roman"/>
                    <w:bCs/>
                    <w:sz w:val="18"/>
                    <w:szCs w:val="18"/>
                  </w:rPr>
                  <w:br/>
                  <w:t>interventions</w:t>
                </w:r>
                <w:r w:rsidRPr="00CE48F1">
                  <w:rPr>
                    <w:rFonts w:ascii="Arial Narrow" w:eastAsia="Times New Roman" w:hAnsi="Arial Narrow" w:cs="Times New Roman"/>
                    <w:bCs/>
                    <w:sz w:val="18"/>
                    <w:szCs w:val="18"/>
                  </w:rPr>
                  <w:br/>
                </w:r>
                <w:r w:rsidRPr="00CE48F1">
                  <w:rPr>
                    <w:rFonts w:ascii="Arial Narrow" w:eastAsia="Times New Roman" w:hAnsi="Arial Narrow" w:cs="Times New Roman"/>
                    <w:bCs/>
                    <w:sz w:val="18"/>
                    <w:szCs w:val="18"/>
                  </w:rPr>
                  <w:br/>
                  <w:t>The ability to actively and effectively</w:t>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t>engagement</w:t>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t>3.67</w:t>
                </w:r>
                <w:r w:rsidRPr="00CE48F1">
                  <w:rPr>
                    <w:rFonts w:ascii="Arial Narrow" w:eastAsia="Times New Roman" w:hAnsi="Arial Narrow" w:cs="Times New Roman"/>
                    <w:bCs/>
                    <w:sz w:val="18"/>
                    <w:szCs w:val="18"/>
                  </w:rPr>
                  <w:tab/>
                  <w:t>4</w:t>
                </w:r>
                <w:r w:rsidRPr="00CE48F1">
                  <w:rPr>
                    <w:rFonts w:ascii="Arial Narrow" w:eastAsia="Times New Roman" w:hAnsi="Arial Narrow" w:cs="Times New Roman"/>
                    <w:bCs/>
                    <w:sz w:val="18"/>
                    <w:szCs w:val="18"/>
                  </w:rPr>
                  <w:tab/>
                  <w:t>3.59</w:t>
                </w:r>
                <w:r w:rsidRPr="00CE48F1">
                  <w:rPr>
                    <w:rFonts w:ascii="Arial Narrow" w:eastAsia="Times New Roman" w:hAnsi="Arial Narrow" w:cs="Times New Roman"/>
                    <w:bCs/>
                    <w:sz w:val="18"/>
                    <w:szCs w:val="18"/>
                  </w:rPr>
                  <w:tab/>
                  <w:t>4</w:t>
                </w:r>
                <w:r w:rsidRPr="00CE48F1">
                  <w:rPr>
                    <w:rFonts w:ascii="Arial Narrow" w:eastAsia="Times New Roman" w:hAnsi="Arial Narrow" w:cs="Times New Roman"/>
                    <w:bCs/>
                    <w:sz w:val="18"/>
                    <w:szCs w:val="18"/>
                  </w:rPr>
                  <w:br/>
                  <w:t>participate in the field experience.</w:t>
                </w:r>
                <w:r w:rsidRPr="00CE48F1">
                  <w:rPr>
                    <w:rFonts w:ascii="Arial Narrow" w:eastAsia="Times New Roman" w:hAnsi="Arial Narrow" w:cs="Times New Roman"/>
                    <w:bCs/>
                    <w:sz w:val="18"/>
                    <w:szCs w:val="18"/>
                  </w:rPr>
                  <w:br/>
                </w:r>
                <w:r w:rsidRPr="00CE48F1">
                  <w:rPr>
                    <w:rFonts w:ascii="Arial Narrow" w:eastAsia="Times New Roman" w:hAnsi="Arial Narrow" w:cs="Times New Roman"/>
                    <w:bCs/>
                    <w:sz w:val="18"/>
                    <w:szCs w:val="18"/>
                  </w:rPr>
                  <w:br/>
                  <w:t>Overall Mean</w:t>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r>
                <w:r>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3.55</w:t>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ab/>
                  <w:t>3.5</w:t>
                </w:r>
                <w:r w:rsidRPr="00CE48F1">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br/>
                </w:r>
                <w:r w:rsidRPr="00CE48F1">
                  <w:rPr>
                    <w:rFonts w:ascii="Arial Narrow" w:eastAsia="Times New Roman" w:hAnsi="Arial Narrow" w:cs="Times New Roman"/>
                    <w:bCs/>
                    <w:sz w:val="18"/>
                    <w:szCs w:val="18"/>
                  </w:rPr>
                  <w:br/>
                  <w:t>II.  Analysis, Indirect Measures, and Closing the Loop</w:t>
                </w:r>
                <w:r w:rsidRPr="00CE48F1">
                  <w:rPr>
                    <w:rFonts w:ascii="Arial Narrow" w:eastAsia="Times New Roman" w:hAnsi="Arial Narrow" w:cs="Times New Roman"/>
                    <w:bCs/>
                    <w:sz w:val="18"/>
                    <w:szCs w:val="18"/>
                  </w:rPr>
                  <w:br/>
                </w:r>
                <w:r w:rsidRPr="00CE48F1">
                  <w:rPr>
                    <w:rFonts w:ascii="Arial Narrow" w:eastAsia="Times New Roman" w:hAnsi="Arial Narrow" w:cs="Times New Roman"/>
                    <w:bCs/>
                    <w:sz w:val="18"/>
                    <w:szCs w:val="18"/>
                  </w:rPr>
                  <w:br/>
                  <w:t>•</w:t>
                </w:r>
                <w:r w:rsidRPr="00CE48F1">
                  <w:rPr>
                    <w:rFonts w:ascii="Arial Narrow" w:eastAsia="Times New Roman" w:hAnsi="Arial Narrow" w:cs="Times New Roman"/>
                    <w:bCs/>
                    <w:sz w:val="18"/>
                    <w:szCs w:val="18"/>
                  </w:rPr>
                  <w:tab/>
                  <w:t>Field Instructors rated students highest in the ability to form relationships with diverse groups, professional comportment, and engagement in the field experience. As in 2011-12, students were rated somewhat less strongly in their communication and intervention skills, however communication ratings improved with the 2012-13 cohort (3.29 to 3.49) and intervention skills slipped slightly slipped (3.43 from 3.51). (Note: a large number of social service students are bilingual and English is their second language; thus frequently English writing skills are not advanced, but the benefit of language diversity is significant for this field of study).</w:t>
                </w:r>
                <w:r w:rsidRPr="00CE48F1">
                  <w:rPr>
                    <w:rFonts w:ascii="Arial Narrow" w:hAnsi="Arial Narrow"/>
                    <w:bCs/>
                    <w:sz w:val="18"/>
                    <w:szCs w:val="18"/>
                  </w:rPr>
                  <w:br/>
                </w:r>
                <w:r w:rsidRPr="00CE48F1">
                  <w:rPr>
                    <w:rFonts w:ascii="Arial Narrow" w:eastAsia="Times New Roman" w:hAnsi="Arial Narrow" w:cs="Times New Roman"/>
                    <w:bCs/>
                    <w:sz w:val="18"/>
                    <w:szCs w:val="18"/>
                  </w:rPr>
                  <w:t>•</w:t>
                </w:r>
                <w:r w:rsidRPr="00CE48F1">
                  <w:rPr>
                    <w:rFonts w:ascii="Arial Narrow" w:eastAsia="Times New Roman" w:hAnsi="Arial Narrow" w:cs="Times New Roman"/>
                    <w:bCs/>
                    <w:sz w:val="18"/>
                    <w:szCs w:val="18"/>
                  </w:rPr>
                  <w:tab/>
                  <w:t>To improve communication outcomes for 2012-13, several program changes were made, including:</w:t>
                </w:r>
                <w:r w:rsidRPr="00CE48F1">
                  <w:rPr>
                    <w:rFonts w:ascii="Arial Narrow" w:hAnsi="Arial Narrow"/>
                    <w:bCs/>
                    <w:sz w:val="18"/>
                    <w:szCs w:val="18"/>
                  </w:rPr>
                  <w:br/>
                </w:r>
                <w:r w:rsidRPr="00CE48F1">
                  <w:rPr>
                    <w:rFonts w:ascii="Arial Narrow" w:eastAsia="Times New Roman" w:hAnsi="Arial Narrow" w:cs="Times New Roman"/>
                    <w:bCs/>
                    <w:sz w:val="18"/>
                    <w:szCs w:val="18"/>
                  </w:rPr>
                  <w:tab/>
                </w:r>
                <w:r>
                  <w:rPr>
                    <w:rFonts w:ascii="Arial Narrow" w:eastAsia="Times New Roman" w:hAnsi="Arial Narrow" w:cs="Times New Roman"/>
                    <w:bCs/>
                    <w:sz w:val="18"/>
                    <w:szCs w:val="18"/>
                  </w:rPr>
                  <w:t xml:space="preserve">-  </w:t>
                </w:r>
                <w:r w:rsidRPr="00CE48F1">
                  <w:rPr>
                    <w:rFonts w:ascii="Arial Narrow" w:eastAsia="Times New Roman" w:hAnsi="Arial Narrow" w:cs="Times New Roman"/>
                    <w:bCs/>
                    <w:sz w:val="18"/>
                    <w:szCs w:val="18"/>
                  </w:rPr>
                  <w:t>adjusting assignment rubrics, placing greater and clearer emphasis on college level writing,</w:t>
                </w:r>
                <w:r w:rsidRPr="00CE48F1">
                  <w:rPr>
                    <w:rFonts w:ascii="Arial Narrow" w:hAnsi="Arial Narrow"/>
                    <w:bCs/>
                    <w:sz w:val="18"/>
                    <w:szCs w:val="18"/>
                  </w:rPr>
                  <w:br/>
                </w:r>
                <w:r w:rsidRPr="00CE48F1">
                  <w:rPr>
                    <w:rFonts w:ascii="Arial Narrow" w:eastAsia="Times New Roman" w:hAnsi="Arial Narrow" w:cs="Times New Roman"/>
                    <w:bCs/>
                    <w:sz w:val="18"/>
                    <w:szCs w:val="18"/>
                  </w:rPr>
                  <w:tab/>
                </w:r>
                <w:r>
                  <w:rPr>
                    <w:rFonts w:ascii="Arial Narrow" w:eastAsia="Times New Roman" w:hAnsi="Arial Narrow" w:cs="Times New Roman"/>
                    <w:bCs/>
                    <w:sz w:val="18"/>
                    <w:szCs w:val="18"/>
                  </w:rPr>
                  <w:t xml:space="preserve">-  </w:t>
                </w:r>
                <w:r w:rsidRPr="00CE48F1">
                  <w:rPr>
                    <w:rFonts w:ascii="Arial Narrow" w:eastAsia="Times New Roman" w:hAnsi="Arial Narrow" w:cs="Times New Roman"/>
                    <w:bCs/>
                    <w:sz w:val="18"/>
                    <w:szCs w:val="18"/>
                  </w:rPr>
                  <w:t>providing templates and examples as demonstrations for APA writing styles,</w:t>
                </w:r>
                <w:r w:rsidRPr="00CE48F1">
                  <w:rPr>
                    <w:rFonts w:ascii="Arial Narrow" w:hAnsi="Arial Narrow"/>
                    <w:bCs/>
                    <w:sz w:val="18"/>
                    <w:szCs w:val="18"/>
                  </w:rPr>
                  <w:br/>
                </w:r>
                <w:r w:rsidRPr="00CE48F1">
                  <w:rPr>
                    <w:rFonts w:ascii="Arial Narrow" w:eastAsia="Times New Roman" w:hAnsi="Arial Narrow" w:cs="Times New Roman"/>
                    <w:bCs/>
                    <w:sz w:val="18"/>
                    <w:szCs w:val="18"/>
                  </w:rPr>
                  <w:tab/>
                </w:r>
                <w:r>
                  <w:rPr>
                    <w:rFonts w:ascii="Arial Narrow" w:eastAsia="Times New Roman" w:hAnsi="Arial Narrow" w:cs="Times New Roman"/>
                    <w:bCs/>
                    <w:sz w:val="18"/>
                    <w:szCs w:val="18"/>
                  </w:rPr>
                  <w:t xml:space="preserve">-  </w:t>
                </w:r>
                <w:r w:rsidRPr="00CE48F1">
                  <w:rPr>
                    <w:rFonts w:ascii="Arial Narrow" w:eastAsia="Times New Roman" w:hAnsi="Arial Narrow" w:cs="Times New Roman"/>
                    <w:bCs/>
                    <w:sz w:val="18"/>
                    <w:szCs w:val="18"/>
                  </w:rPr>
                  <w:t>including handouts on common social service abbreviations and technical language, and</w:t>
                </w:r>
                <w:r w:rsidRPr="00CE48F1">
                  <w:rPr>
                    <w:rFonts w:ascii="Arial Narrow" w:hAnsi="Arial Narrow"/>
                    <w:bCs/>
                    <w:sz w:val="18"/>
                    <w:szCs w:val="18"/>
                  </w:rPr>
                  <w:br/>
                </w:r>
                <w:r w:rsidRPr="00CE48F1">
                  <w:rPr>
                    <w:rFonts w:ascii="Arial Narrow" w:eastAsia="Times New Roman" w:hAnsi="Arial Narrow" w:cs="Times New Roman"/>
                    <w:bCs/>
                    <w:sz w:val="18"/>
                    <w:szCs w:val="18"/>
                  </w:rPr>
                  <w:tab/>
                </w:r>
                <w:r>
                  <w:rPr>
                    <w:rFonts w:ascii="Arial Narrow" w:eastAsia="Times New Roman" w:hAnsi="Arial Narrow" w:cs="Times New Roman"/>
                    <w:bCs/>
                    <w:sz w:val="18"/>
                    <w:szCs w:val="18"/>
                  </w:rPr>
                  <w:t xml:space="preserve">-  </w:t>
                </w:r>
                <w:r w:rsidRPr="00CE48F1">
                  <w:rPr>
                    <w:rFonts w:ascii="Arial Narrow" w:eastAsia="Times New Roman" w:hAnsi="Arial Narrow" w:cs="Times New Roman"/>
                    <w:bCs/>
                    <w:sz w:val="18"/>
                    <w:szCs w:val="18"/>
                  </w:rPr>
                  <w:t xml:space="preserve">using an assignment feedback sheet that drew attention to specific areas of needed writing improvement. </w:t>
                </w:r>
                <w:r w:rsidRPr="00CE48F1">
                  <w:rPr>
                    <w:rFonts w:ascii="Arial Narrow" w:hAnsi="Arial Narrow"/>
                    <w:bCs/>
                    <w:sz w:val="18"/>
                    <w:szCs w:val="18"/>
                  </w:rPr>
                  <w:br/>
                </w:r>
                <w:r w:rsidRPr="00CE48F1">
                  <w:rPr>
                    <w:rFonts w:ascii="Arial Narrow" w:eastAsia="Times New Roman" w:hAnsi="Arial Narrow" w:cs="Times New Roman"/>
                    <w:bCs/>
                    <w:sz w:val="18"/>
                    <w:szCs w:val="18"/>
                  </w:rPr>
                  <w:t>•</w:t>
                </w:r>
                <w:r w:rsidRPr="00CE48F1">
                  <w:rPr>
                    <w:rFonts w:ascii="Arial Narrow" w:eastAsia="Times New Roman" w:hAnsi="Arial Narrow" w:cs="Times New Roman"/>
                    <w:bCs/>
                    <w:sz w:val="18"/>
                    <w:szCs w:val="18"/>
                  </w:rPr>
                  <w:tab/>
                  <w:t xml:space="preserve">The dip from 2011-12 to 2012-13 in resource use and intervention planning scores, may be spurious, or reflect the increased </w:t>
                </w:r>
                <w:r>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student to teacher ratio in the social service method and field classes (1:40 increased to 1:62).</w:t>
                </w:r>
                <w:r w:rsidRPr="00CE48F1">
                  <w:rPr>
                    <w:rFonts w:ascii="Arial Narrow" w:hAnsi="Arial Narrow"/>
                    <w:bCs/>
                    <w:sz w:val="18"/>
                    <w:szCs w:val="18"/>
                  </w:rPr>
                  <w:br/>
                </w:r>
                <w:r w:rsidRPr="00CE48F1">
                  <w:rPr>
                    <w:rFonts w:ascii="Arial Narrow" w:eastAsia="Times New Roman" w:hAnsi="Arial Narrow" w:cs="Times New Roman"/>
                    <w:bCs/>
                    <w:sz w:val="18"/>
                    <w:szCs w:val="18"/>
                  </w:rPr>
                  <w:t>•</w:t>
                </w:r>
                <w:r w:rsidRPr="00CE48F1">
                  <w:rPr>
                    <w:rFonts w:ascii="Arial Narrow" w:eastAsia="Times New Roman" w:hAnsi="Arial Narrow" w:cs="Times New Roman"/>
                    <w:bCs/>
                    <w:sz w:val="18"/>
                    <w:szCs w:val="18"/>
                  </w:rPr>
                  <w:tab/>
                  <w:t>Responses in end of year evaluations written by students, included the following common themes:</w:t>
                </w:r>
                <w:r w:rsidRPr="00CE48F1">
                  <w:rPr>
                    <w:rFonts w:ascii="Arial Narrow" w:hAnsi="Arial Narrow"/>
                    <w:bCs/>
                    <w:sz w:val="18"/>
                    <w:szCs w:val="18"/>
                  </w:rPr>
                  <w:br/>
                </w:r>
                <w:r>
                  <w:rPr>
                    <w:rFonts w:ascii="Arial Narrow" w:eastAsia="Times New Roman" w:hAnsi="Arial Narrow" w:cs="Times New Roman"/>
                    <w:bCs/>
                    <w:sz w:val="18"/>
                    <w:szCs w:val="18"/>
                  </w:rPr>
                  <w:tab/>
                  <w:t xml:space="preserve">-  </w:t>
                </w:r>
                <w:r w:rsidRPr="00CE48F1">
                  <w:rPr>
                    <w:rFonts w:ascii="Arial Narrow" w:eastAsia="Times New Roman" w:hAnsi="Arial Narrow" w:cs="Times New Roman"/>
                    <w:bCs/>
                    <w:sz w:val="18"/>
                    <w:szCs w:val="18"/>
                  </w:rPr>
                  <w:t>Program Strengths: faculty knowledge; faculty support of students; the field experience; and use of applied role plays in classes</w:t>
                </w:r>
                <w:r w:rsidRPr="00CE48F1">
                  <w:rPr>
                    <w:rFonts w:ascii="Arial Narrow" w:hAnsi="Arial Narrow"/>
                    <w:bCs/>
                    <w:sz w:val="18"/>
                    <w:szCs w:val="18"/>
                  </w:rPr>
                  <w:br/>
                </w:r>
                <w:r>
                  <w:rPr>
                    <w:rFonts w:ascii="Arial Narrow" w:eastAsia="Times New Roman" w:hAnsi="Arial Narrow" w:cs="Times New Roman"/>
                    <w:bCs/>
                    <w:sz w:val="18"/>
                    <w:szCs w:val="18"/>
                  </w:rPr>
                  <w:tab/>
                  <w:t xml:space="preserve">-  </w:t>
                </w:r>
                <w:r w:rsidRPr="00CE48F1">
                  <w:rPr>
                    <w:rFonts w:ascii="Arial Narrow" w:eastAsia="Times New Roman" w:hAnsi="Arial Narrow" w:cs="Times New Roman"/>
                    <w:bCs/>
                    <w:sz w:val="18"/>
                    <w:szCs w:val="18"/>
                  </w:rPr>
                  <w:t>Needed Areas of Program Improvement: smaller field seminar class sizes; field seminar meetings earlier in the day (typically</w:t>
                </w:r>
                <w:r>
                  <w:rPr>
                    <w:rFonts w:ascii="Arial Narrow" w:eastAsia="Times New Roman" w:hAnsi="Arial Narrow" w:cs="Times New Roman"/>
                    <w:bCs/>
                    <w:sz w:val="18"/>
                    <w:szCs w:val="18"/>
                  </w:rPr>
                  <w:br/>
                </w:r>
                <w:r>
                  <w:rPr>
                    <w:rFonts w:ascii="Arial Narrow" w:eastAsia="Times New Roman" w:hAnsi="Arial Narrow" w:cs="Times New Roman"/>
                    <w:bCs/>
                    <w:sz w:val="18"/>
                    <w:szCs w:val="18"/>
                  </w:rPr>
                  <w:tab/>
                  <w:t xml:space="preserve">  </w:t>
                </w:r>
                <w:r w:rsidRPr="00CE48F1">
                  <w:rPr>
                    <w:rFonts w:ascii="Arial Narrow" w:eastAsia="Times New Roman" w:hAnsi="Arial Narrow" w:cs="Times New Roman"/>
                    <w:bCs/>
                    <w:sz w:val="18"/>
                    <w:szCs w:val="18"/>
                  </w:rPr>
                  <w:t xml:space="preserve"> meets in early evening); and frequent comments wishing the program was an accredited Bachelor of Social Work (BSW) program</w:t>
                </w:r>
                <w:r w:rsidRPr="00CE48F1">
                  <w:rPr>
                    <w:rFonts w:ascii="Arial Narrow" w:eastAsia="Times New Roman" w:hAnsi="Arial Narrow" w:cs="Times New Roman"/>
                    <w:bCs/>
                    <w:sz w:val="18"/>
                    <w:szCs w:val="18"/>
                  </w:rPr>
                  <w:br/>
                  <w:t>•</w:t>
                </w:r>
                <w:r w:rsidRPr="00CE48F1">
                  <w:rPr>
                    <w:rFonts w:ascii="Arial Narrow" w:eastAsia="Times New Roman" w:hAnsi="Arial Narrow" w:cs="Times New Roman"/>
                    <w:bCs/>
                    <w:sz w:val="18"/>
                    <w:szCs w:val="18"/>
                  </w:rPr>
                  <w:tab/>
                  <w:t>100% of students strongly agreed or agreed with two statements “The SSO sequence prepared me to be an effective social service</w:t>
                </w:r>
                <w:r>
                  <w:rPr>
                    <w:rFonts w:ascii="Arial Narrow" w:eastAsia="Times New Roman" w:hAnsi="Arial Narrow" w:cs="Times New Roman"/>
                    <w:bCs/>
                    <w:sz w:val="18"/>
                    <w:szCs w:val="18"/>
                  </w:rPr>
                  <w:br/>
                </w:r>
                <w:r>
                  <w:rPr>
                    <w:rFonts w:ascii="Arial Narrow" w:eastAsia="Times New Roman" w:hAnsi="Arial Narrow" w:cs="Times New Roman"/>
                    <w:bCs/>
                    <w:sz w:val="18"/>
                    <w:szCs w:val="18"/>
                  </w:rPr>
                  <w:tab/>
                </w:r>
                <w:r w:rsidRPr="00CE48F1">
                  <w:rPr>
                    <w:rFonts w:ascii="Arial Narrow" w:eastAsia="Times New Roman" w:hAnsi="Arial Narrow" w:cs="Times New Roman"/>
                    <w:bCs/>
                    <w:sz w:val="18"/>
                    <w:szCs w:val="18"/>
                  </w:rPr>
                  <w:t>worker” and “I would recommend the SSO sequence to incoming students.”</w:t>
                </w:r>
              </w:p>
            </w:tc>
          </w:sdtContent>
        </w:sdt>
      </w:tr>
    </w:tbl>
    <w:p w14:paraId="26B2EA4B" w14:textId="77777777" w:rsidR="007A55FE" w:rsidRDefault="007A55FE" w:rsidP="007A55FE"/>
    <w:p w14:paraId="38D3042E" w14:textId="77777777" w:rsidR="0042574D" w:rsidRPr="005820AA" w:rsidRDefault="0042574D" w:rsidP="0042574D">
      <w:r>
        <w:rPr>
          <w:b/>
        </w:rPr>
        <w:lastRenderedPageBreak/>
        <w:t>E</w:t>
      </w:r>
      <w:r w:rsidRPr="009F6483">
        <w:rPr>
          <w:b/>
        </w:rPr>
        <w:t xml:space="preserve">. </w:t>
      </w:r>
      <w:r>
        <w:rPr>
          <w:b/>
        </w:rPr>
        <w:t>Suggestions and Recommendations for the CLASS FACT Project in the Future</w:t>
      </w:r>
      <w:r w:rsidRPr="009F6483">
        <w:rPr>
          <w:b/>
        </w:rPr>
        <w:t xml:space="preserve"> </w:t>
      </w:r>
    </w:p>
    <w:p w14:paraId="125436C0" w14:textId="77777777" w:rsidR="0042574D"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9540"/>
      </w:tblGrid>
      <w:tr w:rsidR="00A12D37" w14:paraId="1E56CEDA" w14:textId="77777777" w:rsidTr="00A12D37">
        <w:tc>
          <w:tcPr>
            <w:tcW w:w="9540" w:type="dxa"/>
          </w:tcPr>
          <w:p w14:paraId="39DE4055" w14:textId="77777777" w:rsidR="00A12D37" w:rsidRDefault="00A12D37" w:rsidP="00456429">
            <w:pPr>
              <w:pStyle w:val="ListParagraph"/>
              <w:ind w:left="342"/>
              <w:rPr>
                <w:rFonts w:ascii="Times New Roman" w:hAnsi="Times New Roman" w:cs="Times New Roman"/>
                <w:sz w:val="24"/>
                <w:szCs w:val="24"/>
              </w:rPr>
            </w:pPr>
          </w:p>
        </w:tc>
      </w:tr>
    </w:tbl>
    <w:p w14:paraId="1DE9AC9C" w14:textId="77777777" w:rsidR="00A12D37" w:rsidRPr="001967AD" w:rsidRDefault="00A12D37" w:rsidP="0042574D">
      <w:pPr>
        <w:pStyle w:val="ListParagraph"/>
        <w:spacing w:after="0" w:line="240" w:lineRule="auto"/>
        <w:rPr>
          <w:rFonts w:ascii="Times New Roman" w:hAnsi="Times New Roman" w:cs="Times New Roman"/>
          <w:sz w:val="24"/>
          <w:szCs w:val="24"/>
        </w:rPr>
      </w:pPr>
    </w:p>
    <w:p w14:paraId="29A2F061" w14:textId="77777777" w:rsidR="007A55FE" w:rsidRDefault="0042574D" w:rsidP="007A55FE">
      <w:r>
        <w:t>Thank you for your hard work for the past year, and have a Great Summer!</w:t>
      </w:r>
    </w:p>
    <w:p w14:paraId="6AEC7088" w14:textId="65A99934" w:rsidR="00A12D37" w:rsidRDefault="00A12D37">
      <w:pPr>
        <w:rPr>
          <w:rFonts w:ascii="Garamond Premr Pro" w:hAnsi="Garamond Premr Pro"/>
        </w:rPr>
      </w:pPr>
    </w:p>
    <w:sectPr w:rsidR="00A12D37" w:rsidSect="00CA3632">
      <w:headerReference w:type="first" r:id="rId9"/>
      <w:pgSz w:w="12240" w:h="15840" w:code="1"/>
      <w:pgMar w:top="288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061C0" w14:textId="77777777" w:rsidR="000D29A5" w:rsidRDefault="000D29A5" w:rsidP="00D40636">
      <w:r>
        <w:separator/>
      </w:r>
    </w:p>
  </w:endnote>
  <w:endnote w:type="continuationSeparator" w:id="0">
    <w:p w14:paraId="4E045D90" w14:textId="77777777" w:rsidR="000D29A5" w:rsidRDefault="000D29A5"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800000AF" w:usb1="5000205B" w:usb2="00000000" w:usb3="00000000" w:csb0="0000009B" w:csb1="00000000"/>
  </w:font>
  <w:font w:name="ヒラギノ角ゴ Pro W3">
    <w:charset w:val="80"/>
    <w:family w:val="auto"/>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Garamond Premr Pro">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1597F" w14:textId="77777777" w:rsidR="000D29A5" w:rsidRDefault="000D29A5" w:rsidP="00D40636">
      <w:r>
        <w:separator/>
      </w:r>
    </w:p>
  </w:footnote>
  <w:footnote w:type="continuationSeparator" w:id="0">
    <w:p w14:paraId="07E1FA36" w14:textId="77777777" w:rsidR="000D29A5" w:rsidRDefault="000D29A5"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35292" w14:textId="77777777" w:rsidR="00352721" w:rsidRPr="00631DA8" w:rsidRDefault="00352721"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14:anchorId="2B16B5A8" wp14:editId="2143BDD5">
          <wp:simplePos x="0" y="0"/>
          <wp:positionH relativeFrom="column">
            <wp:posOffset>0</wp:posOffset>
          </wp:positionH>
          <wp:positionV relativeFrom="paragraph">
            <wp:posOffset>5080</wp:posOffset>
          </wp:positionV>
          <wp:extent cx="2331720" cy="640080"/>
          <wp:effectExtent l="0" t="0" r="0" b="7620"/>
          <wp:wrapNone/>
          <wp:docPr id="3" name="Picture 3"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DA8">
      <w:rPr>
        <w:spacing w:val="2"/>
      </w:rPr>
      <w:t>College of Letters, Arts, and Social Sciences (CLASS)</w:t>
    </w:r>
  </w:p>
  <w:p w14:paraId="30737AFD" w14:textId="77777777" w:rsidR="00352721" w:rsidRPr="00631DA8" w:rsidRDefault="00352721" w:rsidP="00631DA8">
    <w:pPr>
      <w:ind w:left="3960"/>
      <w:rPr>
        <w:spacing w:val="15"/>
        <w:kern w:val="16"/>
        <w:sz w:val="16"/>
      </w:rPr>
    </w:pPr>
    <w:r w:rsidRPr="00631DA8">
      <w:rPr>
        <w:spacing w:val="15"/>
        <w:kern w:val="16"/>
        <w:sz w:val="16"/>
      </w:rPr>
      <w:t>Music and Business Building, 1501</w:t>
    </w:r>
  </w:p>
  <w:p w14:paraId="59420E7B" w14:textId="77777777" w:rsidR="00352721" w:rsidRPr="00631DA8" w:rsidRDefault="00352721"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14:paraId="563264F7" w14:textId="77777777" w:rsidR="00352721" w:rsidRPr="00D40636" w:rsidRDefault="00352721"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C5174A4"/>
    <w:multiLevelType w:val="hybridMultilevel"/>
    <w:tmpl w:val="4A2603B0"/>
    <w:lvl w:ilvl="0" w:tplc="3C98F9D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4034C"/>
    <w:rsid w:val="00045BEA"/>
    <w:rsid w:val="0008037C"/>
    <w:rsid w:val="000C2252"/>
    <w:rsid w:val="000D29A5"/>
    <w:rsid w:val="000E3C41"/>
    <w:rsid w:val="000E5FDD"/>
    <w:rsid w:val="000E7C20"/>
    <w:rsid w:val="00121FD9"/>
    <w:rsid w:val="00130A84"/>
    <w:rsid w:val="00153739"/>
    <w:rsid w:val="0018016C"/>
    <w:rsid w:val="001C6EC3"/>
    <w:rsid w:val="0020471A"/>
    <w:rsid w:val="002263B8"/>
    <w:rsid w:val="00230B15"/>
    <w:rsid w:val="00244A15"/>
    <w:rsid w:val="002816C6"/>
    <w:rsid w:val="002B5DF5"/>
    <w:rsid w:val="002C06E7"/>
    <w:rsid w:val="002D5F20"/>
    <w:rsid w:val="002F1EBC"/>
    <w:rsid w:val="0030126F"/>
    <w:rsid w:val="003171A3"/>
    <w:rsid w:val="00352721"/>
    <w:rsid w:val="00356E92"/>
    <w:rsid w:val="00373946"/>
    <w:rsid w:val="003A09C7"/>
    <w:rsid w:val="003E4267"/>
    <w:rsid w:val="004036BD"/>
    <w:rsid w:val="0042574D"/>
    <w:rsid w:val="00456429"/>
    <w:rsid w:val="004924EB"/>
    <w:rsid w:val="004A3000"/>
    <w:rsid w:val="004A45CF"/>
    <w:rsid w:val="004B42E5"/>
    <w:rsid w:val="0050037B"/>
    <w:rsid w:val="005039B0"/>
    <w:rsid w:val="00511877"/>
    <w:rsid w:val="005A3A3A"/>
    <w:rsid w:val="005C33BA"/>
    <w:rsid w:val="00600A9F"/>
    <w:rsid w:val="00621B09"/>
    <w:rsid w:val="00631DA8"/>
    <w:rsid w:val="00663851"/>
    <w:rsid w:val="00686478"/>
    <w:rsid w:val="006A56EE"/>
    <w:rsid w:val="006D384F"/>
    <w:rsid w:val="0077525D"/>
    <w:rsid w:val="007975D9"/>
    <w:rsid w:val="007A55FE"/>
    <w:rsid w:val="007C5C77"/>
    <w:rsid w:val="007C6E3A"/>
    <w:rsid w:val="00843763"/>
    <w:rsid w:val="00853D30"/>
    <w:rsid w:val="008878C6"/>
    <w:rsid w:val="00895F2D"/>
    <w:rsid w:val="008B3FB1"/>
    <w:rsid w:val="008C468B"/>
    <w:rsid w:val="008D5BFF"/>
    <w:rsid w:val="008F2D7A"/>
    <w:rsid w:val="00931E34"/>
    <w:rsid w:val="009A24CE"/>
    <w:rsid w:val="009B2CFC"/>
    <w:rsid w:val="009B58F2"/>
    <w:rsid w:val="009C2698"/>
    <w:rsid w:val="009C39B7"/>
    <w:rsid w:val="00A107C5"/>
    <w:rsid w:val="00A12D37"/>
    <w:rsid w:val="00A15825"/>
    <w:rsid w:val="00A228F6"/>
    <w:rsid w:val="00A76A4E"/>
    <w:rsid w:val="00A803DC"/>
    <w:rsid w:val="00B36FBE"/>
    <w:rsid w:val="00B601C7"/>
    <w:rsid w:val="00B62583"/>
    <w:rsid w:val="00C11D73"/>
    <w:rsid w:val="00C514B5"/>
    <w:rsid w:val="00C548F2"/>
    <w:rsid w:val="00C55172"/>
    <w:rsid w:val="00C90242"/>
    <w:rsid w:val="00CA3632"/>
    <w:rsid w:val="00CA7C05"/>
    <w:rsid w:val="00CB53A4"/>
    <w:rsid w:val="00CD0BEC"/>
    <w:rsid w:val="00CE48F1"/>
    <w:rsid w:val="00D067CE"/>
    <w:rsid w:val="00D21883"/>
    <w:rsid w:val="00D21FB0"/>
    <w:rsid w:val="00D34412"/>
    <w:rsid w:val="00D40636"/>
    <w:rsid w:val="00D45F08"/>
    <w:rsid w:val="00D5136C"/>
    <w:rsid w:val="00D56A81"/>
    <w:rsid w:val="00D91214"/>
    <w:rsid w:val="00DB5143"/>
    <w:rsid w:val="00DD3155"/>
    <w:rsid w:val="00DE0D3D"/>
    <w:rsid w:val="00DF21B4"/>
    <w:rsid w:val="00E07212"/>
    <w:rsid w:val="00E43500"/>
    <w:rsid w:val="00E6733C"/>
    <w:rsid w:val="00E81EE8"/>
    <w:rsid w:val="00E934F4"/>
    <w:rsid w:val="00EA2C95"/>
    <w:rsid w:val="00EA3D0B"/>
    <w:rsid w:val="00EC41A0"/>
    <w:rsid w:val="00F3664C"/>
    <w:rsid w:val="00F56239"/>
    <w:rsid w:val="00F64D4E"/>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21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F2342A">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F2342A" w:rsidRDefault="00F2342A"/>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F2342A"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F2342A"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F2342A"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800000AF" w:usb1="5000205B" w:usb2="00000000" w:usb3="00000000" w:csb0="0000009B" w:csb1="00000000"/>
  </w:font>
  <w:font w:name="ヒラギノ角ゴ Pro W3">
    <w:charset w:val="80"/>
    <w:family w:val="auto"/>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Garamond Premr Pro">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83"/>
    <w:rsid w:val="003565DC"/>
    <w:rsid w:val="008405AF"/>
    <w:rsid w:val="00856416"/>
    <w:rsid w:val="0086735C"/>
    <w:rsid w:val="00976C89"/>
    <w:rsid w:val="009C73CC"/>
    <w:rsid w:val="009E1A83"/>
    <w:rsid w:val="00A20FC3"/>
    <w:rsid w:val="00F2342A"/>
    <w:rsid w:val="00FA6422"/>
    <w:rsid w:val="00FD5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CC"/>
    <w:pPr>
      <w:ind w:left="720"/>
      <w:contextualSpacing/>
    </w:pPr>
    <w:rPr>
      <w:rFonts w:eastAsiaTheme="minorHAnsi"/>
      <w:lang w:eastAsia="en-US"/>
    </w:rPr>
  </w:style>
  <w:style w:type="character" w:styleId="PlaceholderText">
    <w:name w:val="Placeholder Text"/>
    <w:basedOn w:val="DefaultParagraphFont"/>
    <w:uiPriority w:val="99"/>
    <w:semiHidden/>
    <w:rsid w:val="009C73CC"/>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 w:type="paragraph" w:customStyle="1" w:styleId="94F5806FBAF849AC90B05C0694F7D3D5">
    <w:name w:val="94F5806FBAF849AC90B05C0694F7D3D5"/>
    <w:rsid w:val="009C73CC"/>
  </w:style>
  <w:style w:type="paragraph" w:customStyle="1" w:styleId="D0A3923FD7524C019E868A6FC268C4DA">
    <w:name w:val="D0A3923FD7524C019E868A6FC268C4DA"/>
    <w:rsid w:val="009C73CC"/>
  </w:style>
  <w:style w:type="paragraph" w:customStyle="1" w:styleId="77487091EC774C04B1B9D7F86ABAEEAC">
    <w:name w:val="77487091EC774C04B1B9D7F86ABAEEAC"/>
    <w:rsid w:val="009C73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CC"/>
    <w:pPr>
      <w:ind w:left="720"/>
      <w:contextualSpacing/>
    </w:pPr>
    <w:rPr>
      <w:rFonts w:eastAsiaTheme="minorHAnsi"/>
      <w:lang w:eastAsia="en-US"/>
    </w:rPr>
  </w:style>
  <w:style w:type="character" w:styleId="PlaceholderText">
    <w:name w:val="Placeholder Text"/>
    <w:basedOn w:val="DefaultParagraphFont"/>
    <w:uiPriority w:val="99"/>
    <w:semiHidden/>
    <w:rsid w:val="009C73CC"/>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 w:type="paragraph" w:customStyle="1" w:styleId="94F5806FBAF849AC90B05C0694F7D3D5">
    <w:name w:val="94F5806FBAF849AC90B05C0694F7D3D5"/>
    <w:rsid w:val="009C73CC"/>
  </w:style>
  <w:style w:type="paragraph" w:customStyle="1" w:styleId="D0A3923FD7524C019E868A6FC268C4DA">
    <w:name w:val="D0A3923FD7524C019E868A6FC268C4DA"/>
    <w:rsid w:val="009C73CC"/>
  </w:style>
  <w:style w:type="paragraph" w:customStyle="1" w:styleId="77487091EC774C04B1B9D7F86ABAEEAC">
    <w:name w:val="77487091EC774C04B1B9D7F86ABAEEAC"/>
    <w:rsid w:val="009C7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9BD9-D55C-4955-8990-D0434CC3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2</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3</cp:revision>
  <cp:lastPrinted>2011-04-19T21:35:00Z</cp:lastPrinted>
  <dcterms:created xsi:type="dcterms:W3CDTF">2014-03-18T20:50:00Z</dcterms:created>
  <dcterms:modified xsi:type="dcterms:W3CDTF">2014-03-18T20:52:00Z</dcterms:modified>
</cp:coreProperties>
</file>